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71" w:rsidRDefault="008C5871">
      <w:pPr>
        <w:pStyle w:val="ConsPlusTitlePage"/>
      </w:pPr>
      <w:r>
        <w:br/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435CBD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DF2A56">
        <w:rPr>
          <w:rFonts w:ascii="Times New Roman" w:hAnsi="Times New Roman" w:cs="Times New Roman"/>
          <w:sz w:val="24"/>
          <w:szCs w:val="24"/>
        </w:rPr>
        <w:t>етовская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F2A56">
        <w:rPr>
          <w:rFonts w:ascii="Times New Roman" w:hAnsi="Times New Roman" w:cs="Times New Roman"/>
          <w:sz w:val="24"/>
          <w:szCs w:val="24"/>
        </w:rPr>
        <w:t>ума</w:t>
      </w:r>
    </w:p>
    <w:p w:rsidR="008C5871" w:rsidRPr="00DF2A56" w:rsidRDefault="00435CBD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F2A56">
        <w:rPr>
          <w:rFonts w:ascii="Times New Roman" w:hAnsi="Times New Roman" w:cs="Times New Roman"/>
          <w:sz w:val="24"/>
          <w:szCs w:val="24"/>
        </w:rPr>
        <w:t>урганской области</w:t>
      </w:r>
    </w:p>
    <w:p w:rsidR="008C5871" w:rsidRPr="00DF2A56" w:rsidRDefault="008C5871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Р</w:t>
      </w:r>
      <w:r w:rsidR="00D636FD">
        <w:rPr>
          <w:rFonts w:ascii="Times New Roman" w:hAnsi="Times New Roman" w:cs="Times New Roman"/>
          <w:sz w:val="24"/>
          <w:szCs w:val="24"/>
        </w:rPr>
        <w:t>ешение</w:t>
      </w:r>
      <w:bookmarkStart w:id="0" w:name="_GoBack"/>
      <w:bookmarkEnd w:id="0"/>
    </w:p>
    <w:p w:rsidR="008C5871" w:rsidRPr="00DF2A56" w:rsidRDefault="008C5871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от 17 мая 2017 г. </w:t>
      </w:r>
      <w:r w:rsidR="00077203">
        <w:rPr>
          <w:rFonts w:ascii="Times New Roman" w:hAnsi="Times New Roman" w:cs="Times New Roman"/>
          <w:sz w:val="24"/>
          <w:szCs w:val="24"/>
        </w:rPr>
        <w:t>№</w:t>
      </w:r>
      <w:r w:rsidRPr="00DF2A56">
        <w:rPr>
          <w:rFonts w:ascii="Times New Roman" w:hAnsi="Times New Roman" w:cs="Times New Roman"/>
          <w:sz w:val="24"/>
          <w:szCs w:val="24"/>
        </w:rPr>
        <w:t>211</w:t>
      </w:r>
    </w:p>
    <w:p w:rsidR="008C5871" w:rsidRPr="00DF2A56" w:rsidRDefault="008C5871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435CBD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о введении системы налогообложения</w:t>
      </w:r>
    </w:p>
    <w:p w:rsidR="008C5871" w:rsidRPr="00DF2A56" w:rsidRDefault="00435CBD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в виде единого налога на 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вмененный</w:t>
      </w:r>
      <w:proofErr w:type="gramEnd"/>
    </w:p>
    <w:p w:rsidR="008C5871" w:rsidRPr="00DF2A56" w:rsidRDefault="00435CBD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доход для отдельных видов деятельности</w:t>
      </w:r>
    </w:p>
    <w:p w:rsidR="008C5871" w:rsidRPr="00DF2A56" w:rsidRDefault="00435CBD" w:rsidP="00F13E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с 1 января 2018 года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F2A56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ст. 25 Устава муниципального образования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Кетовский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 Курганской области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Кетовская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районная Дума решила: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1. Ввести на территории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"/>
      <w:bookmarkEnd w:id="1"/>
      <w:r w:rsidRPr="00DF2A56">
        <w:rPr>
          <w:rFonts w:ascii="Times New Roman" w:hAnsi="Times New Roman" w:cs="Times New Roman"/>
          <w:sz w:val="24"/>
          <w:szCs w:val="24"/>
        </w:rPr>
        <w:t>2. Установить, что единый налог вводится в отношении следующих видов предпринимательской деятельности: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"/>
      <w:bookmarkEnd w:id="2"/>
      <w:r w:rsidRPr="00DF2A56">
        <w:rPr>
          <w:rFonts w:ascii="Times New Roman" w:hAnsi="Times New Roman" w:cs="Times New Roman"/>
          <w:sz w:val="24"/>
          <w:szCs w:val="24"/>
        </w:rPr>
        <w:t>1)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7"/>
      <w:bookmarkEnd w:id="3"/>
      <w:r w:rsidRPr="00DF2A56">
        <w:rPr>
          <w:rFonts w:ascii="Times New Roman" w:hAnsi="Times New Roman" w:cs="Times New Roman"/>
          <w:sz w:val="24"/>
          <w:szCs w:val="24"/>
        </w:rPr>
        <w:t>2) розничной торговли, осуществляемой через объекты стационарной торговой сети, не имеющей торговых залов, а также объекты нестационарной торговой сети: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"/>
      <w:bookmarkEnd w:id="4"/>
      <w:r w:rsidRPr="00DF2A56">
        <w:rPr>
          <w:rFonts w:ascii="Times New Roman" w:hAnsi="Times New Roman" w:cs="Times New Roman"/>
          <w:sz w:val="24"/>
          <w:szCs w:val="24"/>
        </w:rPr>
        <w:t>а)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"/>
      <w:bookmarkEnd w:id="5"/>
      <w:r w:rsidRPr="00DF2A56">
        <w:rPr>
          <w:rFonts w:ascii="Times New Roman" w:hAnsi="Times New Roman" w:cs="Times New Roman"/>
          <w:sz w:val="24"/>
          <w:szCs w:val="24"/>
        </w:rPr>
        <w:t>б)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"/>
      <w:bookmarkEnd w:id="6"/>
      <w:r w:rsidRPr="00DF2A56">
        <w:rPr>
          <w:rFonts w:ascii="Times New Roman" w:hAnsi="Times New Roman" w:cs="Times New Roman"/>
          <w:sz w:val="24"/>
          <w:szCs w:val="24"/>
        </w:rPr>
        <w:t>в) разносной (развозной)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"/>
      <w:bookmarkEnd w:id="7"/>
      <w:r w:rsidRPr="00DF2A56">
        <w:rPr>
          <w:rFonts w:ascii="Times New Roman" w:hAnsi="Times New Roman" w:cs="Times New Roman"/>
          <w:sz w:val="24"/>
          <w:szCs w:val="24"/>
        </w:rPr>
        <w:t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2"/>
      <w:bookmarkEnd w:id="8"/>
      <w:r w:rsidRPr="00DF2A56">
        <w:rPr>
          <w:rFonts w:ascii="Times New Roman" w:hAnsi="Times New Roman" w:cs="Times New Roman"/>
          <w:sz w:val="24"/>
          <w:szCs w:val="24"/>
        </w:rPr>
        <w:t>4)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3"/>
      <w:bookmarkEnd w:id="9"/>
      <w:r w:rsidRPr="00DF2A56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а) по перевозке грузов;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5"/>
      <w:bookmarkEnd w:id="10"/>
      <w:r w:rsidRPr="00DF2A56">
        <w:rPr>
          <w:rFonts w:ascii="Times New Roman" w:hAnsi="Times New Roman" w:cs="Times New Roman"/>
          <w:sz w:val="24"/>
          <w:szCs w:val="24"/>
        </w:rPr>
        <w:t>б) по перевозке пассажиров;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"/>
      <w:bookmarkEnd w:id="11"/>
      <w:r w:rsidRPr="00DF2A56">
        <w:rPr>
          <w:rFonts w:ascii="Times New Roman" w:hAnsi="Times New Roman" w:cs="Times New Roman"/>
          <w:sz w:val="24"/>
          <w:szCs w:val="24"/>
        </w:rPr>
        <w:t>6) оказания услуг по ремонту, техническому обслуживанию и мойке автомототранспортных средств;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7"/>
      <w:bookmarkEnd w:id="12"/>
      <w:r w:rsidRPr="00DF2A56">
        <w:rPr>
          <w:rFonts w:ascii="Times New Roman" w:hAnsi="Times New Roman" w:cs="Times New Roman"/>
          <w:sz w:val="24"/>
          <w:szCs w:val="24"/>
        </w:rPr>
        <w:t xml:space="preserve">7) оказания бытовых услуг. Коды видов деятельности в соответствии с Общероссийским </w:t>
      </w:r>
      <w:hyperlink r:id="rId6" w:history="1">
        <w:r w:rsidRPr="00DF2A5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</w:t>
      </w:r>
      <w:r w:rsidRPr="00DF2A5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Общероссийским </w:t>
      </w:r>
      <w:hyperlink r:id="rId7" w:history="1">
        <w:r w:rsidRPr="00DF2A5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в соответствии с </w:t>
      </w:r>
      <w:hyperlink r:id="rId8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подпунктом 1 пункта 2 статьи 346.26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8"/>
      <w:bookmarkEnd w:id="13"/>
      <w:r w:rsidRPr="00DF2A56">
        <w:rPr>
          <w:rFonts w:ascii="Times New Roman" w:hAnsi="Times New Roman" w:cs="Times New Roman"/>
          <w:sz w:val="24"/>
          <w:szCs w:val="24"/>
        </w:rPr>
        <w:t>8)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9"/>
      <w:bookmarkEnd w:id="14"/>
      <w:r w:rsidRPr="00DF2A56">
        <w:rPr>
          <w:rFonts w:ascii="Times New Roman" w:hAnsi="Times New Roman" w:cs="Times New Roman"/>
          <w:sz w:val="24"/>
          <w:szCs w:val="24"/>
        </w:rPr>
        <w:t>9) распространения наружной рекламы с использованием рекламных конструкций: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а) рекламы с любым способом нанесения изображения, за исключением наружной рекламы с автоматической сменой изображения;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б) рекламы с автоматической сменой изображения;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в) рекламы посредством электронных табло;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10) размещения рекламы с использованием внешних и внутренних поверхностей транспортных средств;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4"/>
      <w:bookmarkEnd w:id="15"/>
      <w:r w:rsidRPr="00DF2A56">
        <w:rPr>
          <w:rFonts w:ascii="Times New Roman" w:hAnsi="Times New Roman" w:cs="Times New Roman"/>
          <w:sz w:val="24"/>
          <w:szCs w:val="24"/>
        </w:rPr>
        <w:t>11) оказания ветеринарных услуг;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5"/>
      <w:bookmarkEnd w:id="16"/>
      <w:r w:rsidRPr="00DF2A56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6"/>
      <w:bookmarkEnd w:id="17"/>
      <w:r w:rsidRPr="00DF2A56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7"/>
      <w:bookmarkEnd w:id="18"/>
      <w:r w:rsidRPr="00DF2A56">
        <w:rPr>
          <w:rFonts w:ascii="Times New Roman" w:hAnsi="Times New Roman" w:cs="Times New Roman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8"/>
      <w:bookmarkEnd w:id="19"/>
      <w:r w:rsidRPr="00DF2A56">
        <w:rPr>
          <w:rFonts w:ascii="Times New Roman" w:hAnsi="Times New Roman" w:cs="Times New Roman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39"/>
      <w:bookmarkEnd w:id="20"/>
      <w:r w:rsidRPr="00DF2A56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40"/>
      <w:bookmarkEnd w:id="21"/>
      <w:r w:rsidRPr="00DF2A56">
        <w:rPr>
          <w:rFonts w:ascii="Times New Roman" w:hAnsi="Times New Roman" w:cs="Times New Roman"/>
          <w:sz w:val="24"/>
          <w:szCs w:val="24"/>
        </w:rPr>
        <w:t>а) земельных участков площадью, не превышающей 10 квадратных метров;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41"/>
      <w:bookmarkEnd w:id="22"/>
      <w:r w:rsidRPr="00DF2A56">
        <w:rPr>
          <w:rFonts w:ascii="Times New Roman" w:hAnsi="Times New Roman" w:cs="Times New Roman"/>
          <w:sz w:val="24"/>
          <w:szCs w:val="24"/>
        </w:rPr>
        <w:t>б) земельных участков площадью, превышающей 10 квадратных метров.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3. Для исчисления суммы единого налога используется корректирующий коэффициент базовой доходности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, учитывающий совокупность особенностей ведения предпринимательской деятельности. Значение корректирующего коэффициента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определяется как произведение установленных </w:t>
      </w:r>
      <w:hyperlink w:anchor="P44" w:history="1">
        <w:r w:rsidRPr="00DF2A56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91" w:history="1">
        <w:r w:rsidRPr="00DF2A56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 значений факторов. Если для отдельных видов предпринимательской деятельности значения одного или нескольких факторов не определены, то такие факторы в расчете корректирующего коэффициента базовой доходности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не учитываются.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Значение корректирующего коэффициента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 и не могут быть менее 0,005.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44"/>
      <w:bookmarkEnd w:id="23"/>
      <w:r w:rsidRPr="00DF2A56">
        <w:rPr>
          <w:rFonts w:ascii="Times New Roman" w:hAnsi="Times New Roman" w:cs="Times New Roman"/>
          <w:sz w:val="24"/>
          <w:szCs w:val="24"/>
        </w:rPr>
        <w:t>4.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.1 - фактор,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всех видов предпринимательской деятельности, указанных в </w:t>
      </w:r>
      <w:hyperlink w:anchor="P15" w:history="1">
        <w:r w:rsidRPr="00DF2A5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Решения, и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4.1) Для розничной торговли в населенных пунктах, указанных в </w:t>
      </w:r>
      <w:hyperlink w:anchor="P242" w:history="1">
        <w:r w:rsidRPr="00DF2A56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4" w:history="1">
        <w:r w:rsidRPr="00DF2A5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6" w:history="1">
        <w:r w:rsidRPr="00DF2A56">
          <w:rPr>
            <w:rFonts w:ascii="Times New Roman" w:hAnsi="Times New Roman" w:cs="Times New Roman"/>
            <w:sz w:val="24"/>
            <w:szCs w:val="24"/>
          </w:rPr>
          <w:t>3 таблицы пункта 6</w:t>
        </w:r>
      </w:hyperlink>
      <w:r w:rsidRPr="00DF2A56">
        <w:rPr>
          <w:rFonts w:ascii="Times New Roman" w:hAnsi="Times New Roman" w:cs="Times New Roman"/>
          <w:sz w:val="24"/>
          <w:szCs w:val="24"/>
        </w:rPr>
        <w:t>, фактор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а) для деятельности, указанной в </w:t>
      </w:r>
      <w:hyperlink w:anchor="P16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" w:history="1">
        <w:r w:rsidRPr="00DF2A56">
          <w:rPr>
            <w:rFonts w:ascii="Times New Roman" w:hAnsi="Times New Roman" w:cs="Times New Roman"/>
            <w:sz w:val="24"/>
            <w:szCs w:val="24"/>
          </w:rPr>
          <w:t>2б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розничная торговля без реализации алкогольной продукции и (или) пива - 0,5;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розничная торговля с реализацией алкогольной продукции и (или) пива - 0,8;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б) для деятельности, указанной в </w:t>
      </w:r>
      <w:hyperlink w:anchor="P18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2а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" w:history="1">
        <w:r w:rsidRPr="00DF2A56">
          <w:rPr>
            <w:rFonts w:ascii="Times New Roman" w:hAnsi="Times New Roman" w:cs="Times New Roman"/>
            <w:sz w:val="24"/>
            <w:szCs w:val="24"/>
          </w:rPr>
          <w:t>2в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lastRenderedPageBreak/>
        <w:t>розничная торговля без реализации алкогольной продукции и (или) пива - 0,9;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розничная торговля с реализацией алкогольной продукции и (или) пива - 1,0.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Для розничной торговли в населенных пунктах, указанных в </w:t>
      </w:r>
      <w:hyperlink w:anchor="P248" w:history="1">
        <w:r w:rsidRPr="00DF2A56">
          <w:rPr>
            <w:rFonts w:ascii="Times New Roman" w:hAnsi="Times New Roman" w:cs="Times New Roman"/>
            <w:sz w:val="24"/>
            <w:szCs w:val="24"/>
          </w:rPr>
          <w:t>п. п. 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0" w:history="1">
        <w:r w:rsidRPr="00DF2A56">
          <w:rPr>
            <w:rFonts w:ascii="Times New Roman" w:hAnsi="Times New Roman" w:cs="Times New Roman"/>
            <w:sz w:val="24"/>
            <w:szCs w:val="24"/>
          </w:rPr>
          <w:t>5 таблицы пункта 6</w:t>
        </w:r>
      </w:hyperlink>
      <w:r w:rsidRPr="00DF2A56">
        <w:rPr>
          <w:rFonts w:ascii="Times New Roman" w:hAnsi="Times New Roman" w:cs="Times New Roman"/>
          <w:sz w:val="24"/>
          <w:szCs w:val="24"/>
        </w:rPr>
        <w:t>,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определяется: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при торговле алкогольной продукцией и (или) пивом (независимо от объемов их реализации) значение фактора принимается равным 1,0;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при торговле одним видом (группой) товаров, указанным в </w:t>
      </w:r>
      <w:hyperlink w:anchor="P58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фактора, соответствующее этому виду (группе) товаров;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58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фактора по виду (группе) товаров, объем 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58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фактора по виду (группе) товаров, по которому предусмотрено наибольшее значение фактора.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1134"/>
        <w:gridCol w:w="1134"/>
      </w:tblGrid>
      <w:tr w:rsidR="008C5871" w:rsidRPr="00DF2A56">
        <w:tc>
          <w:tcPr>
            <w:tcW w:w="6803" w:type="dxa"/>
            <w:vMerge w:val="restart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58"/>
            <w:bookmarkEnd w:id="24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Виды (группы) товаров</w:t>
            </w:r>
          </w:p>
        </w:tc>
        <w:tc>
          <w:tcPr>
            <w:tcW w:w="2268" w:type="dxa"/>
            <w:gridSpan w:val="2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Значение фактора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8C5871" w:rsidRPr="00DF2A56">
        <w:tc>
          <w:tcPr>
            <w:tcW w:w="6803" w:type="dxa"/>
            <w:vMerge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hyperlink w:anchor="P16" w:history="1">
              <w:r w:rsidRPr="00DF2A56">
                <w:rPr>
                  <w:rFonts w:ascii="Times New Roman" w:hAnsi="Times New Roman" w:cs="Times New Roman"/>
                  <w:sz w:val="24"/>
                  <w:szCs w:val="24"/>
                </w:rPr>
                <w:t>подпунктов 1</w:t>
              </w:r>
            </w:hyperlink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19" w:history="1">
              <w:r w:rsidRPr="00DF2A56">
                <w:rPr>
                  <w:rFonts w:ascii="Times New Roman" w:hAnsi="Times New Roman" w:cs="Times New Roman"/>
                  <w:sz w:val="24"/>
                  <w:szCs w:val="24"/>
                </w:rPr>
                <w:t>2б пункта 2</w:t>
              </w:r>
            </w:hyperlink>
          </w:p>
        </w:tc>
        <w:tc>
          <w:tcPr>
            <w:tcW w:w="113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hyperlink w:anchor="P18" w:history="1">
              <w:r w:rsidRPr="00DF2A56">
                <w:rPr>
                  <w:rFonts w:ascii="Times New Roman" w:hAnsi="Times New Roman" w:cs="Times New Roman"/>
                  <w:sz w:val="24"/>
                  <w:szCs w:val="24"/>
                </w:rPr>
                <w:t>подпунктов 2а</w:t>
              </w:r>
            </w:hyperlink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20" w:history="1">
              <w:r w:rsidRPr="00DF2A56">
                <w:rPr>
                  <w:rFonts w:ascii="Times New Roman" w:hAnsi="Times New Roman" w:cs="Times New Roman"/>
                  <w:sz w:val="24"/>
                  <w:szCs w:val="24"/>
                </w:rPr>
                <w:t>2в пункта 2</w:t>
              </w:r>
            </w:hyperlink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 изделия медицинского назначения, реализуемые через аптеки, аптечные пункты в зданиях учреждений здравоохранения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 изделия медицинского назначения, за исключением реализуемых через аптеки, аптечные пункты в зданиях учреждений здравоохранения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Продовольственные товары, за исключением алкогольной продукции и (или) пива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80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Прочие товары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58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для </w:t>
      </w:r>
      <w:hyperlink w:anchor="P16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подпунктов 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" w:history="1">
        <w:r w:rsidRPr="00DF2A56">
          <w:rPr>
            <w:rFonts w:ascii="Times New Roman" w:hAnsi="Times New Roman" w:cs="Times New Roman"/>
            <w:sz w:val="24"/>
            <w:szCs w:val="24"/>
          </w:rPr>
          <w:t>2б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ведется раздельный учет выручки по видам (группам) товаров. Налогоплательщики, осуществляющие розничную торговлю через два объекта торговой сети и более, ведут учет отдельно по каждому объекту. При отсутствии раздельного учета значение фактора принимается 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1,0 по каждому из таких объектов розничной торговли.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4.2) Для оказания услуг общественного питания фактор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8C5871" w:rsidRPr="00DF2A56">
        <w:tc>
          <w:tcPr>
            <w:tcW w:w="765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14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Значение фактора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8C5871" w:rsidRPr="00DF2A56">
        <w:tc>
          <w:tcPr>
            <w:tcW w:w="765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14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71" w:rsidRPr="00DF2A56">
        <w:tc>
          <w:tcPr>
            <w:tcW w:w="765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- столовые в учреждениях здравоохранения, социального обеспечения и образовательных учреждениях</w:t>
            </w:r>
          </w:p>
        </w:tc>
        <w:tc>
          <w:tcPr>
            <w:tcW w:w="1417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C5871" w:rsidRPr="00DF2A56">
        <w:tc>
          <w:tcPr>
            <w:tcW w:w="765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1417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C5871" w:rsidRPr="00DF2A56">
        <w:tc>
          <w:tcPr>
            <w:tcW w:w="765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1417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765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1417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4.3) При осуществлении видов предпринимательской деятельности, указанных в </w:t>
      </w:r>
      <w:hyperlink w:anchor="P23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" w:history="1">
        <w:r w:rsidRPr="00DF2A5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5" w:history="1">
        <w:r w:rsidRPr="00DF2A56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7" w:history="1">
        <w:r w:rsidRPr="00DF2A56">
          <w:rPr>
            <w:rFonts w:ascii="Times New Roman" w:hAnsi="Times New Roman" w:cs="Times New Roman"/>
            <w:sz w:val="24"/>
            <w:szCs w:val="24"/>
          </w:rPr>
          <w:t>13а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0" w:history="1">
        <w:r w:rsidRPr="00DF2A56">
          <w:rPr>
            <w:rFonts w:ascii="Times New Roman" w:hAnsi="Times New Roman" w:cs="Times New Roman"/>
            <w:sz w:val="24"/>
            <w:szCs w:val="24"/>
          </w:rPr>
          <w:t>14а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Решения,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принимается равным 1,0.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4.4) При оказании бытовых услуг в населенных пунктах, указанных в </w:t>
      </w:r>
      <w:hyperlink w:anchor="P242" w:history="1">
        <w:r w:rsidRPr="00DF2A56">
          <w:rPr>
            <w:rFonts w:ascii="Times New Roman" w:hAnsi="Times New Roman" w:cs="Times New Roman"/>
            <w:sz w:val="24"/>
            <w:szCs w:val="24"/>
          </w:rPr>
          <w:t>п. 1 таблицы пункта 6</w:t>
        </w:r>
      </w:hyperlink>
      <w:r w:rsidRPr="00DF2A56">
        <w:rPr>
          <w:rFonts w:ascii="Times New Roman" w:hAnsi="Times New Roman" w:cs="Times New Roman"/>
          <w:sz w:val="24"/>
          <w:szCs w:val="24"/>
        </w:rPr>
        <w:t>,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принимается равным 0,2.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При оказании бытовых услуг в населенных пунктах, указанных в </w:t>
      </w:r>
      <w:hyperlink w:anchor="P244" w:history="1">
        <w:r w:rsidRPr="00DF2A56">
          <w:rPr>
            <w:rFonts w:ascii="Times New Roman" w:hAnsi="Times New Roman" w:cs="Times New Roman"/>
            <w:sz w:val="24"/>
            <w:szCs w:val="24"/>
          </w:rPr>
          <w:t>п. п.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6" w:history="1">
        <w:r w:rsidRPr="00DF2A56">
          <w:rPr>
            <w:rFonts w:ascii="Times New Roman" w:hAnsi="Times New Roman" w:cs="Times New Roman"/>
            <w:sz w:val="24"/>
            <w:szCs w:val="24"/>
          </w:rPr>
          <w:t>3 таблицы пункта 6</w:t>
        </w:r>
      </w:hyperlink>
      <w:r w:rsidRPr="00DF2A56">
        <w:rPr>
          <w:rFonts w:ascii="Times New Roman" w:hAnsi="Times New Roman" w:cs="Times New Roman"/>
          <w:sz w:val="24"/>
          <w:szCs w:val="24"/>
        </w:rPr>
        <w:t>,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принимается равным 0,3.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Для оказания бытовых услуг в населенных пунктах, указанных в </w:t>
      </w:r>
      <w:hyperlink w:anchor="P248" w:history="1">
        <w:r w:rsidRPr="00DF2A56">
          <w:rPr>
            <w:rFonts w:ascii="Times New Roman" w:hAnsi="Times New Roman" w:cs="Times New Roman"/>
            <w:sz w:val="24"/>
            <w:szCs w:val="24"/>
          </w:rPr>
          <w:t>п. п. 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0" w:history="1">
        <w:r w:rsidRPr="00DF2A56">
          <w:rPr>
            <w:rFonts w:ascii="Times New Roman" w:hAnsi="Times New Roman" w:cs="Times New Roman"/>
            <w:sz w:val="24"/>
            <w:szCs w:val="24"/>
          </w:rPr>
          <w:t>5 таблицы пункта 6</w:t>
        </w:r>
      </w:hyperlink>
      <w:r w:rsidRPr="00DF2A56">
        <w:rPr>
          <w:rFonts w:ascii="Times New Roman" w:hAnsi="Times New Roman" w:cs="Times New Roman"/>
          <w:sz w:val="24"/>
          <w:szCs w:val="24"/>
        </w:rPr>
        <w:t>,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определяется: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123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фактора, соответствующее этому виду (подгруппе) услуг;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23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фактора по виду (подгруппе) услуг, объем которого за налоговый период в общем объеме оказанных услуг составляет более 50 процентов;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23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значение фактора по виду (подгруппе) услуг, по которому предусмотрено наибольшее значение фактора.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43"/>
      </w:tblGrid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123"/>
            <w:bookmarkEnd w:id="25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184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Значение фактора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ритуальных услуг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1843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23" w:history="1">
        <w:r w:rsidRPr="00DF2A56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фактора принимается 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1,0 по каждому из таких пунктов (мест).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4.5) Для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принимается равным 0,95.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4.6) Для распространения наружной рекламы с использованием рекламных конструкций, размещения рекламы на транспортных средствах фактор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276"/>
      </w:tblGrid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127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Значение фактора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8C5871" w:rsidRPr="00DF2A56">
        <w:tblPrEx>
          <w:tblBorders>
            <w:insideH w:val="nil"/>
          </w:tblBorders>
        </w:tblPrEx>
        <w:tc>
          <w:tcPr>
            <w:tcW w:w="7767" w:type="dxa"/>
            <w:tcBorders>
              <w:bottom w:val="nil"/>
            </w:tcBorders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1. Наружная реклама с любым способом нанесения изображения, включая рекламу с автоматической сменой изображения: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71" w:rsidRPr="00DF2A56">
        <w:tblPrEx>
          <w:tblBorders>
            <w:insideH w:val="nil"/>
          </w:tblBorders>
        </w:tblPrEx>
        <w:tc>
          <w:tcPr>
            <w:tcW w:w="7767" w:type="dxa"/>
            <w:tcBorders>
              <w:top w:val="nil"/>
            </w:tcBorders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Социальная реклама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</w:p>
        </w:tc>
        <w:tc>
          <w:tcPr>
            <w:tcW w:w="1276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Политическая реклама с площадью изображения не более 1 кв. м</w:t>
            </w:r>
          </w:p>
        </w:tc>
        <w:tc>
          <w:tcPr>
            <w:tcW w:w="1276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blPrEx>
          <w:tblBorders>
            <w:insideH w:val="nil"/>
          </w:tblBorders>
        </w:tblPrEx>
        <w:tc>
          <w:tcPr>
            <w:tcW w:w="7767" w:type="dxa"/>
            <w:tcBorders>
              <w:bottom w:val="nil"/>
            </w:tcBorders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Реклама товаров (за исключением алкогольной продукции, пива табака и (или) табачных изделий) местных (областных) товаропроизводителей: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71" w:rsidRPr="00DF2A56">
        <w:tblPrEx>
          <w:tblBorders>
            <w:insideH w:val="nil"/>
          </w:tblBorders>
        </w:tblPrEx>
        <w:tc>
          <w:tcPr>
            <w:tcW w:w="7767" w:type="dxa"/>
            <w:tcBorders>
              <w:top w:val="nil"/>
              <w:bottom w:val="nil"/>
            </w:tcBorders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размещаемая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непосредственными товаропроизводителями на щитах и иных стационарных технических средствах, которые находятся в их собственности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C5871" w:rsidRPr="00DF2A56">
        <w:tblPrEx>
          <w:tblBorders>
            <w:insideH w:val="nil"/>
          </w:tblBorders>
        </w:tblPrEx>
        <w:tc>
          <w:tcPr>
            <w:tcW w:w="7767" w:type="dxa"/>
            <w:tcBorders>
              <w:top w:val="nil"/>
            </w:tcBorders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размещаемая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Реклама алкогольной продукции, пива, табака и (или) табачных изделий</w:t>
            </w:r>
          </w:p>
        </w:tc>
        <w:tc>
          <w:tcPr>
            <w:tcW w:w="1276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1276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1276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2. Реклама, распространяемая и (или) размещаемая посредством электронных табло</w:t>
            </w:r>
          </w:p>
        </w:tc>
        <w:tc>
          <w:tcPr>
            <w:tcW w:w="1276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3. Реклама, распространяемая и (или) размещаемая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276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Под социальной рекламой понимается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 (в том числе на щите-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призматроне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или многостороннем средстве)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A56">
        <w:rPr>
          <w:rFonts w:ascii="Times New Roman" w:hAnsi="Times New Roman" w:cs="Times New Roman"/>
          <w:sz w:val="24"/>
          <w:szCs w:val="24"/>
        </w:rPr>
        <w:t>4.7) Для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метров, указанных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38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подпункте 13б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Решения,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принимается равным 0,3.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4.8) Для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площадь которых превышает 10 квадратных метров, указанных в </w:t>
      </w:r>
      <w:hyperlink w:anchor="P41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подпункте 14б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Решения,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принимается равным 0,4.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4.9) Для оказания ветеринарных услуг значение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.1 принимается равным 0,35.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5.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.2 - фактор, учитывающий размер физического показателя, применяется для видов предпринимательской деятельности, указанных в </w:t>
      </w:r>
      <w:hyperlink w:anchor="P16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" w:history="1">
        <w:r w:rsidRPr="00DF2A56">
          <w:rPr>
            <w:rFonts w:ascii="Times New Roman" w:hAnsi="Times New Roman" w:cs="Times New Roman"/>
            <w:sz w:val="24"/>
            <w:szCs w:val="24"/>
          </w:rPr>
          <w:t>2б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1" w:history="1">
        <w:r w:rsidRPr="00DF2A5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2" w:history="1">
        <w:r w:rsidRPr="00DF2A5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" w:history="1">
        <w:r w:rsidRPr="00DF2A56">
          <w:rPr>
            <w:rFonts w:ascii="Times New Roman" w:hAnsi="Times New Roman" w:cs="Times New Roman"/>
            <w:sz w:val="24"/>
            <w:szCs w:val="24"/>
          </w:rPr>
          <w:t>5б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" w:history="1">
        <w:r w:rsidRPr="00DF2A5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" w:history="1">
        <w:r w:rsidRPr="00DF2A5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 w:history="1">
        <w:r w:rsidRPr="00DF2A5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" w:history="1">
        <w:r w:rsidRPr="00DF2A5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4" w:history="1">
        <w:r w:rsidRPr="00DF2A56">
          <w:rPr>
            <w:rFonts w:ascii="Times New Roman" w:hAnsi="Times New Roman" w:cs="Times New Roman"/>
            <w:sz w:val="24"/>
            <w:szCs w:val="24"/>
          </w:rPr>
          <w:t>11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85"/>
      <w:bookmarkEnd w:id="26"/>
      <w:proofErr w:type="gramStart"/>
      <w:r w:rsidRPr="00DF2A56">
        <w:rPr>
          <w:rFonts w:ascii="Times New Roman" w:hAnsi="Times New Roman" w:cs="Times New Roman"/>
          <w:sz w:val="24"/>
          <w:szCs w:val="24"/>
        </w:rPr>
        <w:t>- 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реализации, при площади торгового зала до 75 кв. м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включительно значение фактора принимается 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1,0. При площади торгового зала от 75 кв. м до 150 кв. м включительно значение фактора рассчитывается по формуле: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D63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pict>
          <v:shape id="_x0000_i1025" style="width:369pt;height:33.75pt" coordsize="" o:spt="100" adj="0,,0" path="" filled="f" stroked="f">
            <v:stroke joinstyle="miter"/>
            <v:imagedata r:id="rId9" o:title="base_23825_45773_32768"/>
            <v:formulas/>
            <v:path o:connecttype="segments"/>
          </v:shape>
        </w:pic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Для розничной торговли (за исключением розничной торговли, указанной во </w:t>
      </w:r>
      <w:hyperlink w:anchor="P185" w:history="1">
        <w:r w:rsidRPr="00DF2A56">
          <w:rPr>
            <w:rFonts w:ascii="Times New Roman" w:hAnsi="Times New Roman" w:cs="Times New Roman"/>
            <w:sz w:val="24"/>
            <w:szCs w:val="24"/>
          </w:rPr>
          <w:t>втором абзаце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пункта)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50 кв. м включительно, значение фактора принимается равным 1,0. При площади торгового зала (зала обслуживания посетителей) от 50 кв. м до 100 кв. м включительно, значение фактора рассчитывается по формуле: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D63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pict>
          <v:shape id="_x0000_i1026" style="width:132pt;height:33.75pt" coordsize="" o:spt="100" adj="0,,0" path="" filled="f" stroked="f">
            <v:stroke joinstyle="miter"/>
            <v:imagedata r:id="rId10" o:title="base_23825_45773_32769"/>
            <v:formulas/>
            <v:path o:connecttype="segments"/>
          </v:shape>
        </w:pic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фактора рассчитывается по формуле: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D63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pict>
          <v:shape id="_x0000_i1027" style="width:144.75pt;height:33.75pt" coordsize="" o:spt="100" adj="0,,0" path="" filled="f" stroked="f">
            <v:stroke joinstyle="miter"/>
            <v:imagedata r:id="rId11" o:title="base_23825_45773_32770"/>
            <v:formulas/>
            <v:path o:connecttype="segments"/>
          </v:shape>
        </w:pic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где S - общая площадь торгового зала (зала обслуживания посетителей), кв. м.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Для оказания услуг общественного питания с реализацией алкогольной продукции и (или) пива при площади зала обслуживания посетителей до 75 кв. м включительно значение фактора принимается 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1,0. При площади зала обслуживания посетителей от 75 кв. м до 150 кв. м включительно значение фактора рассчитывается по формуле: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D63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pict>
          <v:shape id="_x0000_i1028" style="width:132.75pt;height:33.75pt" coordsize="" o:spt="100" adj="0,,0" path="" filled="f" stroked="f">
            <v:stroke joinstyle="miter"/>
            <v:imagedata r:id="rId12" o:title="base_23825_45773_32771"/>
            <v:formulas/>
            <v:path o:connecttype="segments"/>
          </v:shape>
        </w:pic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где S - общая площадь зала обслуживания посетителей, кв. м.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Для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при площади стоянки до 1000 кв. м включительно значение фактора принимается равным 1,0. При площади стоянки более 1000 кв. м значение фактора рассчитывается по формуле: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D63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pict>
          <v:shape id="_x0000_i1029" style="width:356.25pt;height:33.75pt" coordsize="" o:spt="100" adj="0,,0" path="" filled="f" stroked="f">
            <v:stroke joinstyle="miter"/>
            <v:imagedata r:id="rId13" o:title="base_23825_45773_32772"/>
            <v:formulas/>
            <v:path o:connecttype="segments"/>
          </v:shape>
        </w:pic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Для видов предпринимательской деятельности, указанных в </w:t>
      </w:r>
      <w:hyperlink w:anchor="P22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" w:history="1">
        <w:r w:rsidRPr="00DF2A5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" w:history="1">
        <w:r w:rsidRPr="00DF2A5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4" w:history="1">
        <w:r w:rsidRPr="00DF2A56">
          <w:rPr>
            <w:rFonts w:ascii="Times New Roman" w:hAnsi="Times New Roman" w:cs="Times New Roman"/>
            <w:sz w:val="24"/>
            <w:szCs w:val="24"/>
          </w:rPr>
          <w:t xml:space="preserve">11 </w:t>
        </w:r>
        <w:r w:rsidRPr="00DF2A56">
          <w:rPr>
            <w:rFonts w:ascii="Times New Roman" w:hAnsi="Times New Roman" w:cs="Times New Roman"/>
            <w:sz w:val="24"/>
            <w:szCs w:val="24"/>
          </w:rPr>
          <w:lastRenderedPageBreak/>
          <w:t>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Решения, фактор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43"/>
      </w:tblGrid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84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Значение фактора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184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184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184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8C5871" w:rsidRPr="00DF2A56">
        <w:tc>
          <w:tcPr>
            <w:tcW w:w="720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51 человек и более</w:t>
            </w:r>
          </w:p>
        </w:tc>
        <w:tc>
          <w:tcPr>
            <w:tcW w:w="1843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Для распространения наружной рекламы с использованием рекламных конструкций (</w:t>
      </w:r>
      <w:hyperlink w:anchor="P29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 9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Решения) фактор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6"/>
      </w:tblGrid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Площадь информационного поля (всех информационных полей) одного стационарного технического средства наружной рекламы (S), кв. м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Значение (формула расчета значения) фактора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до 10 кв. м включительно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Более 10 кв. м до 36 кв. м включительно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0,86 + 1,44 / S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Более 36 кв. м до 54 кв. м включительно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 + 10,8 / S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Более 54 кв. м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0,1 + 37,8 / S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Для оказания автотранспортных услуг по перевозке пассажиров (</w:t>
      </w:r>
      <w:hyperlink w:anchor="P25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 5б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Решения) фактор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при наличии в одном транспортном средстве до 6 посадочных мест - 1,0;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при наличии в одном транспортном средстве до 16 посадочных мест - 0,5;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при наличии в одном транспортном средстве с 16 и более посадочных мест - 0,4.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6.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.3 - фактор, учитывающий место осуществления деятельности, применяется для видов предпринимательской деятельности, указанных в </w:t>
      </w:r>
      <w:hyperlink w:anchor="P16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" w:history="1">
        <w:r w:rsidRPr="00DF2A5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1" w:history="1">
        <w:r w:rsidRPr="00DF2A5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2" w:history="1">
        <w:r w:rsidRPr="00DF2A5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" w:history="1">
        <w:r w:rsidRPr="00DF2A5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 w:history="1">
        <w:r w:rsidRPr="00DF2A5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" w:history="1">
        <w:r w:rsidRPr="00DF2A5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5" w:history="1">
        <w:r w:rsidRPr="00DF2A56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6" w:history="1">
        <w:r w:rsidRPr="00DF2A56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9" w:history="1">
        <w:r w:rsidRPr="00DF2A56">
          <w:rPr>
            <w:rFonts w:ascii="Times New Roman" w:hAnsi="Times New Roman" w:cs="Times New Roman"/>
            <w:sz w:val="24"/>
            <w:szCs w:val="24"/>
          </w:rPr>
          <w:t>14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Решения, и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82"/>
      </w:tblGrid>
      <w:tr w:rsidR="008C5871" w:rsidRPr="00DF2A56">
        <w:tc>
          <w:tcPr>
            <w:tcW w:w="788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1182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Фактор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8C5871" w:rsidRPr="00DF2A56">
        <w:tc>
          <w:tcPr>
            <w:tcW w:w="788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242"/>
            <w:bookmarkEnd w:id="27"/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1. д. Лаптева, д. Белый Яр,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Передергина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Чистопрудный, п.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Чернавский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Малиновка, Платформа 2349 км, п. Зеленый, д. Северное, п.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Нефтянников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Патронная, п. Зеленый Лог,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Шкодинское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Кривина,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Грачево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Лесной, д. Лиственная, д. Галкино-2-е,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Костоусово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Борки, Казарма 338 км, д. Куртамыш, д. Вятка,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Новокомогоровка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, д. Романовка, д. Снежная, ст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Козлово, п. Горелый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Михаль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Логовушка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Новая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Затобольная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Конево-Казанцева, д. Орловка,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Галаево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Чашинский</w:t>
            </w:r>
            <w:proofErr w:type="spellEnd"/>
            <w:proofErr w:type="gramEnd"/>
          </w:p>
        </w:tc>
        <w:tc>
          <w:tcPr>
            <w:tcW w:w="1182" w:type="dxa"/>
            <w:vAlign w:val="center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C5871" w:rsidRPr="00DF2A56">
        <w:tc>
          <w:tcPr>
            <w:tcW w:w="788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244"/>
            <w:bookmarkEnd w:id="28"/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2.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Бараба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Логоушка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Придорожный,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Колесниково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Залесовский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Усть-Утяк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Балки, д. Санаторная, п. Крюково,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Галишево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Митино,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Кропани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, д. Ново-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Лушниково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Пименовка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Большое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Раково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Ровная, д.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Кропанка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Светлые Поляны, д. Становая, с. Сычево,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Темляково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, с. Чесноки</w:t>
            </w:r>
            <w:proofErr w:type="gramEnd"/>
          </w:p>
        </w:tc>
        <w:tc>
          <w:tcPr>
            <w:tcW w:w="1182" w:type="dxa"/>
            <w:vAlign w:val="center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0,35</w:t>
            </w:r>
          </w:p>
        </w:tc>
      </w:tr>
      <w:tr w:rsidR="008C5871" w:rsidRPr="00DF2A56">
        <w:tc>
          <w:tcPr>
            <w:tcW w:w="788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246"/>
            <w:bookmarkEnd w:id="29"/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с. Большое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Чаусово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Колташево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Менщиково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д. Новая Сидоровка, с. Просвет, п. Старый Просвет,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Шмаково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п. Введенское,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Иковка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Садовое,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Каширино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Падеринское</w:t>
            </w:r>
            <w:proofErr w:type="spellEnd"/>
            <w:proofErr w:type="gramEnd"/>
          </w:p>
        </w:tc>
        <w:tc>
          <w:tcPr>
            <w:tcW w:w="1182" w:type="dxa"/>
            <w:vAlign w:val="center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8C5871" w:rsidRPr="00DF2A56">
        <w:tc>
          <w:tcPr>
            <w:tcW w:w="788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248"/>
            <w:bookmarkEnd w:id="30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4. с. Введенское</w:t>
            </w:r>
          </w:p>
        </w:tc>
        <w:tc>
          <w:tcPr>
            <w:tcW w:w="1182" w:type="dxa"/>
            <w:vAlign w:val="center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8C5871" w:rsidRPr="00DF2A56">
        <w:tc>
          <w:tcPr>
            <w:tcW w:w="7880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250"/>
            <w:bookmarkEnd w:id="31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5.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Лесниково</w:t>
            </w:r>
            <w:proofErr w:type="spellEnd"/>
          </w:p>
        </w:tc>
        <w:tc>
          <w:tcPr>
            <w:tcW w:w="1182" w:type="dxa"/>
            <w:vAlign w:val="center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7.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.4 - фактор, учитывающий право, на основании которого налогоплательщик использует места организации розничной торговли, применяется для видов предпринимательской деятельности, указанных в </w:t>
      </w:r>
      <w:hyperlink w:anchor="P16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" w:history="1">
        <w:r w:rsidRPr="00DF2A56">
          <w:rPr>
            <w:rFonts w:ascii="Times New Roman" w:hAnsi="Times New Roman" w:cs="Times New Roman"/>
            <w:sz w:val="24"/>
            <w:szCs w:val="24"/>
          </w:rPr>
          <w:t>2а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" w:history="1">
        <w:r w:rsidRPr="00DF2A56">
          <w:rPr>
            <w:rFonts w:ascii="Times New Roman" w:hAnsi="Times New Roman" w:cs="Times New Roman"/>
            <w:sz w:val="24"/>
            <w:szCs w:val="24"/>
          </w:rPr>
          <w:t>2б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 и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на праве аренды - 0,9;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на праве собственности и ином вещном праве - 1,0.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8.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.5 - фактор, учитывающий категорию налогоплательщиков и (или) лиц, которыми оказываются соответствующие услуги, применяется для видов предпринимательской деятельности, указанных в </w:t>
      </w:r>
      <w:hyperlink w:anchor="P23" w:history="1">
        <w:r w:rsidRPr="00DF2A56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7" w:history="1">
        <w:r w:rsidRPr="00DF2A56">
          <w:rPr>
            <w:rFonts w:ascii="Times New Roman" w:hAnsi="Times New Roman" w:cs="Times New Roman"/>
            <w:sz w:val="24"/>
            <w:szCs w:val="24"/>
          </w:rPr>
          <w:t>7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Подвид деятельности</w:t>
            </w:r>
          </w:p>
        </w:tc>
        <w:tc>
          <w:tcPr>
            <w:tcW w:w="1304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Фактор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130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130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 индивидуальными предпринимателями, являющимися инвалидами I и II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130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C5871" w:rsidRPr="00DF2A56">
        <w:tc>
          <w:tcPr>
            <w:tcW w:w="776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 или автотранспортных услуг по перевозке пассажиров и грузов иными категориями налогоплательщиков и (или) другим категориям лиц</w:t>
            </w:r>
          </w:p>
        </w:tc>
        <w:tc>
          <w:tcPr>
            <w:tcW w:w="1304" w:type="dxa"/>
            <w:vAlign w:val="bottom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9.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.6 - фактор, учитывающий среднемесячный размер начисленной заработной платы в расчете на одного работника (за исключением индивидуального предпринимателя) за налоговый период, применяется для всех видов предпринимательской деятельности, указанных в </w:t>
      </w:r>
      <w:hyperlink w:anchor="P15" w:history="1">
        <w:r w:rsidRPr="00DF2A5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Решения, и имеет следующие значения: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6"/>
      </w:tblGrid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средней заработной платы наемных работников относительно величины прожиточного минимума, установленного для трудоспособного населения Курганской области действующим законодательством Курганской области за предшествующий период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Значение фактора К</w:t>
            </w:r>
            <w:proofErr w:type="gramStart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До 1 размера включительно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От 1 до 1,5 размеров включительно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От 1,5 до 2 размеров включительно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C5871" w:rsidRPr="00DF2A56">
        <w:tc>
          <w:tcPr>
            <w:tcW w:w="6917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Более 2 размеров</w:t>
            </w:r>
          </w:p>
        </w:tc>
        <w:tc>
          <w:tcPr>
            <w:tcW w:w="2126" w:type="dxa"/>
          </w:tcPr>
          <w:p w:rsidR="008C5871" w:rsidRPr="00DF2A56" w:rsidRDefault="008C5871" w:rsidP="00DF2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5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871" w:rsidRPr="00DF2A56" w:rsidRDefault="008C5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Фактор 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применяется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начиная с квартала, в котором размер ежемесячной средней заработной платы наемных работников налогоплательщика превысил величину прожиточного минимума.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Для тех налогоплательщиков, у которых размер средней заработной платы наемных работников хотя бы в одном из месяцев налогового периода стал ниже или равен величине прожиточного минимума, фактор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.6 за этот налоговый период применяется равным 1.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Обоснованность применения фактора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>.6 подтверждается следующими документами: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книга приказов;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трудовые договоры;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табели рабочего времени;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расчетно-платежные ведомости;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копии платежных документов на перечисление взносов на ОПС за отчетный период;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- копии паспортов (страницы 1 - 2, прописка).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91"/>
      <w:bookmarkEnd w:id="32"/>
      <w:r w:rsidRPr="00DF2A56">
        <w:rPr>
          <w:rFonts w:ascii="Times New Roman" w:hAnsi="Times New Roman" w:cs="Times New Roman"/>
          <w:sz w:val="24"/>
          <w:szCs w:val="24"/>
        </w:rPr>
        <w:t>10.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.7 - фактор, учитывающий место осуществления налогоплательщиком деятельности внутри населенных пунктов, указанных в </w:t>
      </w:r>
      <w:hyperlink w:anchor="P248" w:history="1">
        <w:r w:rsidRPr="00DF2A56">
          <w:rPr>
            <w:rFonts w:ascii="Times New Roman" w:hAnsi="Times New Roman" w:cs="Times New Roman"/>
            <w:sz w:val="24"/>
            <w:szCs w:val="24"/>
          </w:rPr>
          <w:t>п. п. 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0" w:history="1">
        <w:r w:rsidRPr="00DF2A56">
          <w:rPr>
            <w:rFonts w:ascii="Times New Roman" w:hAnsi="Times New Roman" w:cs="Times New Roman"/>
            <w:sz w:val="24"/>
            <w:szCs w:val="24"/>
          </w:rPr>
          <w:t>5 таблицы пункта 6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применяется для видов предпринимательской деятельности </w:t>
      </w:r>
      <w:hyperlink w:anchor="P16" w:history="1">
        <w:r w:rsidRPr="00DF2A5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" w:history="1">
        <w:r w:rsidRPr="00DF2A56">
          <w:rPr>
            <w:rFonts w:ascii="Times New Roman" w:hAnsi="Times New Roman" w:cs="Times New Roman"/>
            <w:sz w:val="24"/>
            <w:szCs w:val="24"/>
          </w:rPr>
          <w:t>2а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" w:history="1">
        <w:r w:rsidRPr="00DF2A56">
          <w:rPr>
            <w:rFonts w:ascii="Times New Roman" w:hAnsi="Times New Roman" w:cs="Times New Roman"/>
            <w:sz w:val="24"/>
            <w:szCs w:val="24"/>
          </w:rPr>
          <w:t>2б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1" w:history="1">
        <w:r w:rsidRPr="00DF2A5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2" w:history="1">
        <w:r w:rsidRPr="00DF2A5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" w:history="1">
        <w:r w:rsidRPr="00DF2A5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" w:history="1">
        <w:r w:rsidRPr="00DF2A5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6" w:history="1">
        <w:r w:rsidRPr="00DF2A56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9" w:history="1">
        <w:r w:rsidRPr="00DF2A56">
          <w:rPr>
            <w:rFonts w:ascii="Times New Roman" w:hAnsi="Times New Roman" w:cs="Times New Roman"/>
            <w:sz w:val="24"/>
            <w:szCs w:val="24"/>
          </w:rPr>
          <w:t>14 пункта 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настоящего Решения и имеет следующие значения: зона 1 - 1,0; зона 2 - 0,8; зона 3 - 0,6; зона 4 - 0,5.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Границы указанных зон населенных пунктов определяются представительными органами местного самоуправления муниципальных образований сельских поселений, в которые входят данные населенные пункты. В случае если границы зон не определены, фактор не применяется. При установлении (изменении) границ зон фактор применяется с начала следующего налогового периода за тем, в котором обнародовано соответствующее решение представительного органа муниципального образования.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11. Расчет корректирующего коэффициента К</w:t>
      </w:r>
      <w:proofErr w:type="gramStart"/>
      <w:r w:rsidRPr="00DF2A5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2A56">
        <w:rPr>
          <w:rFonts w:ascii="Times New Roman" w:hAnsi="Times New Roman" w:cs="Times New Roman"/>
          <w:sz w:val="24"/>
          <w:szCs w:val="24"/>
        </w:rPr>
        <w:t xml:space="preserve"> и значений факторов произвольной формы, документы, подтверждающие величину физического показателя и правильность определения корректирующего коэффициента К2 и значений факторов, представляются налогоплательщиками в налоговые органы не позднее 20 числа первого месяца следующего налогового периода (одновременно с соответствующей налоговой декларацией).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12. Налоговый период, порядок и сроки уплаты единого налога установлены </w:t>
      </w:r>
      <w:hyperlink r:id="rId14" w:history="1">
        <w:r w:rsidRPr="00DF2A56">
          <w:rPr>
            <w:rFonts w:ascii="Times New Roman" w:hAnsi="Times New Roman" w:cs="Times New Roman"/>
            <w:sz w:val="24"/>
            <w:szCs w:val="24"/>
          </w:rPr>
          <w:t>ст. ст. 346.30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DF2A56">
          <w:rPr>
            <w:rFonts w:ascii="Times New Roman" w:hAnsi="Times New Roman" w:cs="Times New Roman"/>
            <w:sz w:val="24"/>
            <w:szCs w:val="24"/>
          </w:rPr>
          <w:t>346.32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ч. 2 Налогового Кодекса Российской Федерации.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13. Признать утратившими силу с 1 января 2018 года Решения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Думы: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DF2A56">
          <w:rPr>
            <w:rFonts w:ascii="Times New Roman" w:hAnsi="Times New Roman" w:cs="Times New Roman"/>
            <w:sz w:val="24"/>
            <w:szCs w:val="24"/>
          </w:rPr>
          <w:t>N 309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от 28.11.2007 "О внесении изменения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22.11.2006 N 237 "О введении системы налогообложения в виде единого налога на </w:t>
      </w:r>
      <w:r w:rsidRPr="00DF2A56">
        <w:rPr>
          <w:rFonts w:ascii="Times New Roman" w:hAnsi="Times New Roman" w:cs="Times New Roman"/>
          <w:sz w:val="24"/>
          <w:szCs w:val="24"/>
        </w:rPr>
        <w:lastRenderedPageBreak/>
        <w:t>вмененный доход для отдельных видов деятельности с 1 января 2007 года";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DF2A56">
          <w:rPr>
            <w:rFonts w:ascii="Times New Roman" w:hAnsi="Times New Roman" w:cs="Times New Roman"/>
            <w:sz w:val="24"/>
            <w:szCs w:val="24"/>
          </w:rPr>
          <w:t>N 371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от 02.07.2008 "О внесении изменения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28.11.2007 N 309 "О внесении изменения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22.11.2006 N 237 "О введении системы налогообложения в виде единого налога на вмененный доход для отдельных видов деятельности с 1 января 2007 года";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DF2A56">
          <w:rPr>
            <w:rFonts w:ascii="Times New Roman" w:hAnsi="Times New Roman" w:cs="Times New Roman"/>
            <w:sz w:val="24"/>
            <w:szCs w:val="24"/>
          </w:rPr>
          <w:t>N 405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от 26.11.2008 "О внесении изменений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22.11.2006 N 237 "О введении системы налогообложения в виде единого налога на вмененный доход для отдельных видов деятельности с 1 января 2007 года";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DF2A56">
          <w:rPr>
            <w:rFonts w:ascii="Times New Roman" w:hAnsi="Times New Roman" w:cs="Times New Roman"/>
            <w:sz w:val="24"/>
            <w:szCs w:val="24"/>
          </w:rPr>
          <w:t>N 90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от 24.11.2010 "О внесении изменения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28.11.2007 N 309 "О внесении изменения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22.11.2006 N 237 "О введении системы налогообложения в виде единого налога на вмененный доход для отдельных видов деятельности с 1 января 2007 года";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DF2A56">
          <w:rPr>
            <w:rFonts w:ascii="Times New Roman" w:hAnsi="Times New Roman" w:cs="Times New Roman"/>
            <w:sz w:val="24"/>
            <w:szCs w:val="24"/>
          </w:rPr>
          <w:t>N 139</w:t>
        </w:r>
      </w:hyperlink>
      <w:r w:rsidRPr="00DF2A56">
        <w:rPr>
          <w:rFonts w:ascii="Times New Roman" w:hAnsi="Times New Roman" w:cs="Times New Roman"/>
          <w:sz w:val="24"/>
          <w:szCs w:val="24"/>
        </w:rPr>
        <w:t xml:space="preserve"> от 29.06.2011 "О внесении изменения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28.11.2007 N 309 "О внесении изменения в Решение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Кетовской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районной Думы от 22.11.2006 N 237 "О введении системы налогообложения в виде единого налога на вмененный доход для отдельных видов деятельности с 1 января 2007 года".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 xml:space="preserve">14. Решение опубликовать в общественно-политической газете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района "Собеседник" и разместить на официальном сайте администрации </w:t>
      </w:r>
      <w:proofErr w:type="spellStart"/>
      <w:r w:rsidRPr="00DF2A56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Pr="00DF2A56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A56">
        <w:rPr>
          <w:rFonts w:ascii="Times New Roman" w:hAnsi="Times New Roman" w:cs="Times New Roman"/>
          <w:sz w:val="24"/>
          <w:szCs w:val="24"/>
        </w:rPr>
        <w:t>15. Настоящее Решение вступает в силу по истечении одного месяца со дня его официального опубликования и применяется к правоотношениям с 1 января 2018 года.</w:t>
      </w:r>
    </w:p>
    <w:p w:rsidR="008C5871" w:rsidRPr="00DF2A56" w:rsidRDefault="008C5871" w:rsidP="00DF2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5EF4" w:rsidRDefault="008C5871" w:rsidP="00F13E2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40A1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8C5871" w:rsidRPr="00F640A1" w:rsidRDefault="008C5871" w:rsidP="00F13E2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40A1">
        <w:rPr>
          <w:rFonts w:ascii="Times New Roman" w:hAnsi="Times New Roman" w:cs="Times New Roman"/>
          <w:i/>
          <w:sz w:val="24"/>
          <w:szCs w:val="24"/>
        </w:rPr>
        <w:t>Кетовского</w:t>
      </w:r>
      <w:proofErr w:type="spellEnd"/>
      <w:r w:rsidRPr="00F640A1">
        <w:rPr>
          <w:rFonts w:ascii="Times New Roman" w:hAnsi="Times New Roman" w:cs="Times New Roman"/>
          <w:i/>
          <w:sz w:val="24"/>
          <w:szCs w:val="24"/>
        </w:rPr>
        <w:t xml:space="preserve"> района</w:t>
      </w:r>
    </w:p>
    <w:p w:rsidR="008C5871" w:rsidRPr="00F640A1" w:rsidRDefault="008C5871" w:rsidP="00F13E2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40A1">
        <w:rPr>
          <w:rFonts w:ascii="Times New Roman" w:hAnsi="Times New Roman" w:cs="Times New Roman"/>
          <w:i/>
          <w:sz w:val="24"/>
          <w:szCs w:val="24"/>
        </w:rPr>
        <w:t>А.В.</w:t>
      </w:r>
      <w:r w:rsidR="00810B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0A1">
        <w:rPr>
          <w:rFonts w:ascii="Times New Roman" w:hAnsi="Times New Roman" w:cs="Times New Roman"/>
          <w:i/>
          <w:sz w:val="24"/>
          <w:szCs w:val="24"/>
        </w:rPr>
        <w:t>Н</w:t>
      </w:r>
      <w:r w:rsidR="00C15EF4">
        <w:rPr>
          <w:rFonts w:ascii="Times New Roman" w:hAnsi="Times New Roman" w:cs="Times New Roman"/>
          <w:i/>
          <w:sz w:val="24"/>
          <w:szCs w:val="24"/>
        </w:rPr>
        <w:t>осков</w:t>
      </w:r>
    </w:p>
    <w:p w:rsidR="008C5871" w:rsidRPr="00F640A1" w:rsidRDefault="008C5871" w:rsidP="00F13E2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5871" w:rsidRPr="00F640A1" w:rsidRDefault="008C5871" w:rsidP="00F13E2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40A1">
        <w:rPr>
          <w:rFonts w:ascii="Times New Roman" w:hAnsi="Times New Roman" w:cs="Times New Roman"/>
          <w:i/>
          <w:sz w:val="24"/>
          <w:szCs w:val="24"/>
        </w:rPr>
        <w:t>Председатель</w:t>
      </w:r>
    </w:p>
    <w:p w:rsidR="008C5871" w:rsidRPr="00F640A1" w:rsidRDefault="008C5871" w:rsidP="00F13E2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40A1">
        <w:rPr>
          <w:rFonts w:ascii="Times New Roman" w:hAnsi="Times New Roman" w:cs="Times New Roman"/>
          <w:i/>
          <w:sz w:val="24"/>
          <w:szCs w:val="24"/>
        </w:rPr>
        <w:t>Кетовской</w:t>
      </w:r>
      <w:proofErr w:type="spellEnd"/>
      <w:r w:rsidRPr="00F640A1">
        <w:rPr>
          <w:rFonts w:ascii="Times New Roman" w:hAnsi="Times New Roman" w:cs="Times New Roman"/>
          <w:i/>
          <w:sz w:val="24"/>
          <w:szCs w:val="24"/>
        </w:rPr>
        <w:t xml:space="preserve"> районной Думы</w:t>
      </w:r>
    </w:p>
    <w:p w:rsidR="008C5871" w:rsidRPr="00F640A1" w:rsidRDefault="008C5871" w:rsidP="00F13E2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40A1">
        <w:rPr>
          <w:rFonts w:ascii="Times New Roman" w:hAnsi="Times New Roman" w:cs="Times New Roman"/>
          <w:i/>
          <w:sz w:val="24"/>
          <w:szCs w:val="24"/>
        </w:rPr>
        <w:t>В.Н.</w:t>
      </w:r>
      <w:r w:rsidR="00C66D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40A1">
        <w:rPr>
          <w:rFonts w:ascii="Times New Roman" w:hAnsi="Times New Roman" w:cs="Times New Roman"/>
          <w:i/>
          <w:sz w:val="24"/>
          <w:szCs w:val="24"/>
        </w:rPr>
        <w:t>К</w:t>
      </w:r>
      <w:r w:rsidR="00C15EF4">
        <w:rPr>
          <w:rFonts w:ascii="Times New Roman" w:hAnsi="Times New Roman" w:cs="Times New Roman"/>
          <w:i/>
          <w:sz w:val="24"/>
          <w:szCs w:val="24"/>
        </w:rPr>
        <w:t>орепин</w:t>
      </w:r>
      <w:proofErr w:type="spellEnd"/>
    </w:p>
    <w:p w:rsidR="00BC61C8" w:rsidRPr="00F640A1" w:rsidRDefault="00BC61C8">
      <w:pPr>
        <w:rPr>
          <w:i/>
        </w:rPr>
      </w:pPr>
    </w:p>
    <w:sectPr w:rsidR="00BC61C8" w:rsidRPr="00F640A1" w:rsidSect="00DA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71"/>
    <w:rsid w:val="00077203"/>
    <w:rsid w:val="002B3291"/>
    <w:rsid w:val="00435CBD"/>
    <w:rsid w:val="00810B00"/>
    <w:rsid w:val="008C5871"/>
    <w:rsid w:val="00BC61C8"/>
    <w:rsid w:val="00C15EF4"/>
    <w:rsid w:val="00C66DE5"/>
    <w:rsid w:val="00D636FD"/>
    <w:rsid w:val="00DF2A56"/>
    <w:rsid w:val="00F13E20"/>
    <w:rsid w:val="00F6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1D905ED1245096F6A6B70B976BCA65B27F8F4AA43419ED9A161127EF99363CF1FB077B51B4B2D027D41E802A7B917A449B0A9AFF946j9PBL" TargetMode="External"/><Relationship Id="rId13" Type="http://schemas.openxmlformats.org/officeDocument/2006/relationships/image" Target="media/image5.wmf"/><Relationship Id="rId18" Type="http://schemas.openxmlformats.org/officeDocument/2006/relationships/hyperlink" Target="consultantplus://offline/ref=EE01D905ED1245096F6A757DAF1AE0AC5B2EAEFDA9474BCD82FE3A4F29F099348850E927F24D402F0B3710A549A8B914jBP3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E01D905ED1245096F6A6B70B976BCA65B27F2F3AA43419ED9A161127EF99363DD1FE87BB61A532F003712AC56jAP3L" TargetMode="External"/><Relationship Id="rId12" Type="http://schemas.openxmlformats.org/officeDocument/2006/relationships/image" Target="media/image4.wmf"/><Relationship Id="rId17" Type="http://schemas.openxmlformats.org/officeDocument/2006/relationships/hyperlink" Target="consultantplus://offline/ref=EE01D905ED1245096F6A757DAF1AE0AC5B2EAEFDA9474ECB84FE3A4F29F099348850E927F24D402F0B3710A549A8B914jBP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01D905ED1245096F6A757DAF1AE0AC5B2EAEFDAA4242C187FE3A4F29F099348850E927F24D402F0B3710A549A8B914jBP3L" TargetMode="External"/><Relationship Id="rId20" Type="http://schemas.openxmlformats.org/officeDocument/2006/relationships/hyperlink" Target="consultantplus://offline/ref=EE01D905ED1245096F6A757DAF1AE0AC5B2EAEFDAA4349C08DFE3A4F29F099348850E927F24D402F0B3710A549A8B914jBP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1D905ED1245096F6A6B70B976BCA65B27F2F3AB43419ED9A161127EF99363DD1FE87BB61A532F003712AC56jAP3L" TargetMode="External"/><Relationship Id="rId11" Type="http://schemas.openxmlformats.org/officeDocument/2006/relationships/image" Target="media/image3.wmf"/><Relationship Id="rId5" Type="http://schemas.openxmlformats.org/officeDocument/2006/relationships/hyperlink" Target="consultantplus://offline/ref=EE01D905ED1245096F6A6B70B976BCA65B27F8F4AA43419ED9A161127EF99363CF1FB077B71B4827027D41E802A7B917A449B0A9AFF946j9PBL" TargetMode="External"/><Relationship Id="rId15" Type="http://schemas.openxmlformats.org/officeDocument/2006/relationships/hyperlink" Target="consultantplus://offline/ref=EE01D905ED1245096F6A6B70B976BCA65B27F8F4AA43419ED9A161127EF99363CF1FB077B61B452A0F2244FD13FFB415B857B9BEB3FB4793j1PCL" TargetMode="External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EE01D905ED1245096F6A757DAF1AE0AC5B2EAEFDA94842C981FE3A4F29F099348850E927F24D402F0B3710A549A8B914jBP3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E01D905ED1245096F6A6B70B976BCA65B27F8F4AA43419ED9A161127EF99363CF1FB077B61B452A0B2244FD13FFB415B857B9BEB3FB4793j1P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4443</Words>
  <Characters>25328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14</cp:revision>
  <dcterms:created xsi:type="dcterms:W3CDTF">2019-09-02T11:15:00Z</dcterms:created>
  <dcterms:modified xsi:type="dcterms:W3CDTF">2019-09-02T11:19:00Z</dcterms:modified>
</cp:coreProperties>
</file>