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81092B">
        <w:rPr>
          <w:rFonts w:ascii="Times New Roman" w:hAnsi="Times New Roman" w:cs="Times New Roman"/>
          <w:b w:val="0"/>
          <w:sz w:val="24"/>
          <w:szCs w:val="24"/>
        </w:rPr>
        <w:t>етуховская</w:t>
      </w:r>
      <w:proofErr w:type="spellEnd"/>
      <w:r w:rsidRPr="0081092B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81092B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81092B">
        <w:rPr>
          <w:rFonts w:ascii="Times New Roman" w:hAnsi="Times New Roman" w:cs="Times New Roman"/>
          <w:b w:val="0"/>
          <w:sz w:val="24"/>
          <w:szCs w:val="24"/>
        </w:rPr>
        <w:t>урганская область</w:t>
      </w:r>
    </w:p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81092B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092B">
        <w:rPr>
          <w:rFonts w:ascii="Times New Roman" w:hAnsi="Times New Roman" w:cs="Times New Roman"/>
          <w:b w:val="0"/>
          <w:sz w:val="24"/>
          <w:szCs w:val="24"/>
        </w:rPr>
        <w:t xml:space="preserve">от 1 марта 2018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81092B">
        <w:rPr>
          <w:rFonts w:ascii="Times New Roman" w:hAnsi="Times New Roman" w:cs="Times New Roman"/>
          <w:b w:val="0"/>
          <w:sz w:val="24"/>
          <w:szCs w:val="24"/>
        </w:rPr>
        <w:t>239</w:t>
      </w:r>
    </w:p>
    <w:p w:rsidR="00FE6684" w:rsidRPr="0081092B" w:rsidRDefault="00FE66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092B">
        <w:rPr>
          <w:rFonts w:ascii="Times New Roman" w:hAnsi="Times New Roman" w:cs="Times New Roman"/>
          <w:b w:val="0"/>
          <w:sz w:val="24"/>
          <w:szCs w:val="24"/>
        </w:rPr>
        <w:t xml:space="preserve">о введении системы налогообложения в виде единого налога </w:t>
      </w:r>
      <w:proofErr w:type="gramStart"/>
      <w:r w:rsidRPr="0081092B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</w:p>
    <w:p w:rsidR="00FE6684" w:rsidRPr="0081092B" w:rsidRDefault="00810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092B">
        <w:rPr>
          <w:rFonts w:ascii="Times New Roman" w:hAnsi="Times New Roman" w:cs="Times New Roman"/>
          <w:b w:val="0"/>
          <w:sz w:val="24"/>
          <w:szCs w:val="24"/>
        </w:rPr>
        <w:t>вмененный доход для отдельных видов деятельности</w:t>
      </w:r>
    </w:p>
    <w:p w:rsidR="00FE6684" w:rsidRPr="009B50B9" w:rsidRDefault="00FE6684" w:rsidP="009B50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Петуховская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Петуховского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района муниципального образования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Петуховского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3"/>
      <w:bookmarkEnd w:id="0"/>
      <w:r w:rsidRPr="009B50B9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14"/>
      <w:bookmarkEnd w:id="1"/>
      <w:r w:rsidRPr="009B50B9">
        <w:rPr>
          <w:rFonts w:ascii="Times New Roman" w:hAnsi="Times New Roman" w:cs="Times New Roman"/>
          <w:b w:val="0"/>
          <w:sz w:val="24"/>
          <w:szCs w:val="24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15"/>
      <w:bookmarkEnd w:id="2"/>
      <w:r w:rsidRPr="009B50B9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16"/>
      <w:bookmarkEnd w:id="3"/>
      <w:r w:rsidRPr="009B50B9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17"/>
      <w:bookmarkEnd w:id="4"/>
      <w:r w:rsidRPr="009B50B9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18"/>
      <w:bookmarkEnd w:id="5"/>
      <w:r w:rsidRPr="009B50B9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0"/>
      <w:bookmarkEnd w:id="6"/>
      <w:r w:rsidRPr="009B50B9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2"/>
      <w:bookmarkEnd w:id="7"/>
      <w:r w:rsidRPr="009B50B9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а) розничная торговля, осуществляемая в объектах стационарной сети, а также в объектах нестационарной торговой сети, площадь торгового места в которых не превышает 5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24"/>
      <w:bookmarkEnd w:id="8"/>
      <w:r w:rsidRPr="009B50B9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сети, а также в объектах нестационарной торговой сети, площадь торгового места в которых превышает 5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25"/>
      <w:bookmarkEnd w:id="9"/>
      <w:r w:rsidRPr="009B50B9">
        <w:rPr>
          <w:rFonts w:ascii="Times New Roman" w:hAnsi="Times New Roman" w:cs="Times New Roman"/>
          <w:b w:val="0"/>
          <w:sz w:val="24"/>
          <w:szCs w:val="24"/>
        </w:rPr>
        <w:t>в)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26"/>
      <w:bookmarkEnd w:id="10"/>
      <w:r w:rsidRPr="009B50B9">
        <w:rPr>
          <w:rFonts w:ascii="Times New Roman" w:hAnsi="Times New Roman" w:cs="Times New Roman"/>
          <w:b w:val="0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27"/>
      <w:bookmarkEnd w:id="11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9) оказание услуг общественного питания через объекты организации общественного </w:t>
      </w: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питания, не имеющие зала обслуживания посетителей;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28"/>
      <w:bookmarkEnd w:id="12"/>
      <w:r w:rsidRPr="009B50B9">
        <w:rPr>
          <w:rFonts w:ascii="Times New Roman" w:hAnsi="Times New Roman" w:cs="Times New Roman"/>
          <w:b w:val="0"/>
          <w:sz w:val="24"/>
          <w:szCs w:val="24"/>
        </w:rPr>
        <w:t>10) распространение и (или) размещение наружной рекламы: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а) рекламы с любым способом нанесения изображения, за исключением наружной рекламы с автоматической сменой изображения;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б) рекламы с автоматической сменой изображения;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в) рекламы посредством электронных табло;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2"/>
      <w:bookmarkEnd w:id="13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11) распространение и (или) размещение рекламы на автобусах любых типов, легковых и грузовых автомобилях, прицепах, полуприцепах и прицепах-роспусках (учитывается ее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размещение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как на внешних, так и на внутренних поверхностях);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33"/>
      <w:bookmarkEnd w:id="14"/>
      <w:r w:rsidRPr="009B50B9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34"/>
      <w:bookmarkEnd w:id="15"/>
      <w:r w:rsidRPr="009B50B9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35"/>
      <w:bookmarkEnd w:id="16"/>
      <w:r w:rsidRPr="009B50B9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36"/>
      <w:bookmarkEnd w:id="17"/>
      <w:r w:rsidRPr="009B50B9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P37"/>
      <w:bookmarkEnd w:id="18"/>
      <w:r w:rsidRPr="009B50B9">
        <w:rPr>
          <w:rFonts w:ascii="Times New Roman" w:hAnsi="Times New Roman" w:cs="Times New Roman"/>
          <w:b w:val="0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торговых ме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ст в ст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9" w:name="P38"/>
      <w:bookmarkEnd w:id="19"/>
      <w:r w:rsidRPr="009B50B9">
        <w:rPr>
          <w:rFonts w:ascii="Times New Roman" w:hAnsi="Times New Roman" w:cs="Times New Roman"/>
          <w:b w:val="0"/>
          <w:sz w:val="24"/>
          <w:szCs w:val="24"/>
        </w:rPr>
        <w:t>а) земельных участков площадью, не превышающей 10 квадратных метров;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0" w:name="P39"/>
      <w:bookmarkEnd w:id="20"/>
      <w:r w:rsidRPr="009B50B9">
        <w:rPr>
          <w:rFonts w:ascii="Times New Roman" w:hAnsi="Times New Roman" w:cs="Times New Roman"/>
          <w:b w:val="0"/>
          <w:sz w:val="24"/>
          <w:szCs w:val="24"/>
        </w:rPr>
        <w:t>б) земельных участков площадью, превышающей 10 квадратных метров.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базовой доходности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1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(влияния на результат) предпринимательской деятельности. Если для отдельных видов предпринимательской деятельности значения одного или нескольких корректирующих коэффициентов не определены, то такие коэффициенты в расчете корректирующего коэффициента базовой доходности не учитываются. Значение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 и не более 1,00.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P41"/>
      <w:bookmarkEnd w:id="21"/>
      <w:r w:rsidRPr="009B50B9">
        <w:rPr>
          <w:rFonts w:ascii="Times New Roman" w:hAnsi="Times New Roman" w:cs="Times New Roman"/>
          <w:b w:val="0"/>
          <w:sz w:val="24"/>
          <w:szCs w:val="24"/>
        </w:rPr>
        <w:t>4. Установить следующие коэффициенты, используемые для определения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и их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1)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.1 - корректирующий коэффициент,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деятельности; применяется для соответствующих видов предпринимательской деятельности, указанных в </w:t>
      </w:r>
      <w:hyperlink w:anchor="P1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розничной торговли (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6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) значение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не более 3000 человек корректирующий коэффициент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реализации алкогольной продукции и (или) пива - 1,0;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в населенных пунктах с численностью населения более 3000 </w:t>
      </w: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человек корректирующий коэффициент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при торговле одним видом (группой) товаров, указанным в таблице настоящего подпункта, применяется значение корректирующего коэффициента, соответствующее этому виду (группе) товаров;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таблице настоящего подпункта, принимается значение корректирующего коэффициента по виду (группе) товаров, объем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при торговле различными видами (группами) товаров, указанными в таблице настоящего подпункта, и объеме реализации каждого вида (группы) товаров за налоговый период в общем объеме реализации не более 50 процентов принимается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2098"/>
      </w:tblGrid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098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098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098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через фельдшерско-акушерские аптечные пункты, относящиеся ко второй категории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Швейные (кроме меховых и кожаных изделий) и трикотажные </w:t>
            </w: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изделия, обувь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0,8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Продовольственные товары, за исключением алкогольной продукции и (или) пива</w:t>
            </w:r>
          </w:p>
        </w:tc>
        <w:tc>
          <w:tcPr>
            <w:tcW w:w="209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098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При торговле различными видами (группами) товаров, указанными в таблице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отсутствии раздельного учета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объектов розничной торговли.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оказания услуг общественного питания (</w:t>
      </w:r>
      <w:hyperlink w:anchor="P2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8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) значение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1984"/>
      </w:tblGrid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984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1984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 в лечебных учреждениях и образовательных учреждениях, в подпунктах 1, 2, 3, 5, 7 и 8 пункта 4 статьи 12 Закона Российской Федерации "Об образовании" (за исключением оказания услуг общественного питания учреждениями образования, здравоохранения и социального обеспечения), в доле организации питания школьников</w:t>
            </w:r>
          </w:p>
        </w:tc>
        <w:tc>
          <w:tcPr>
            <w:tcW w:w="1984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1984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1984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1984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бытовых услуг </w:t>
      </w:r>
      <w:hyperlink w:anchor="P1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оказании бытовых услуг одного вида (подгруппы), указанных в таблице настоящего подпункта, применяется значение корректирующего коэффициента, соответствующее этому виду (подгруппе) услуг;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таблице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</w:t>
      </w: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корректирующего коэффициента: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2041"/>
      </w:tblGrid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парикмахерских услуг, (кроме парикмахерских услуг, оказываемых салонами, 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салонами-люкс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ритуальных и обрядовых услуг в культовых зданиях и сооружениях и на относящихся к ним территориях, в иных местах, предоставленных религиозным организациям для этих целей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отсутствии раздельного учета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пунктов (мест).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оказании ветеринарных услуг </w:t>
      </w:r>
      <w:hyperlink w:anchor="P1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2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ремонту, техническому обслуживанию и мойке, по хранению на платных стоянках автомототранспортных средств и оказанию автотранспортных услуг </w:t>
      </w: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(</w:t>
      </w:r>
      <w:hyperlink w:anchor="P1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3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)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распространения и (или) размещения наружной рекламы (</w:t>
      </w:r>
      <w:hyperlink w:anchor="P2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10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11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) значение корректирующего коэффициента принимать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оказании услуг по временному размещению и проживанию </w:t>
      </w:r>
      <w:hyperlink w:anchor="P3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12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оказании услуг по передаче во временное владение и (или) пользование торговых мест </w:t>
      </w:r>
      <w:hyperlink w:anchor="P3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13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оказании услуг по передаче во временное владение и (или) в пользование земельных участков </w:t>
      </w:r>
      <w:hyperlink w:anchor="P3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14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2)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.2 - корректирующий коэффициент, учитывающий площадь торгового зала (зала обслуживания посетителей), площадь стоянки, площадь нанесенного изображения, площадь земельных участков или количество работников, включая индивидуального предпринимателя, применяется для видов предпринимательской деятельности, указанных в </w:t>
      </w:r>
      <w:hyperlink w:anchor="P1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подпунктах 4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2" w:name="P146"/>
      <w:bookmarkEnd w:id="22"/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6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реализации:</w:t>
      </w:r>
      <w:proofErr w:type="gramEnd"/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зала до 40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9.75pt;height:33.75pt" coordsize="" o:spt="100" adj="0,,0" path="" filled="f" stroked="f">
            <v:stroke joinstyle="miter"/>
            <v:imagedata r:id="rId6" o:title="base_23825_53869_32768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9.75pt;height:33.75pt" coordsize="" o:spt="100" adj="0,,0" path="" filled="f" stroked="f">
            <v:stroke joinstyle="miter"/>
            <v:imagedata r:id="rId7" o:title="base_23825_53869_32769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зала,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во </w:t>
      </w:r>
      <w:hyperlink w:anchor="P14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втором абзаце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без реализации алкогольной продукции и (или) пива (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6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зала (зала обслуживания посетителей) до 30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зала от 30 кв. м до 50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23pt;height:33.75pt" coordsize="" o:spt="100" adj="0,,0" path="" filled="f" stroked="f">
            <v:stroke joinstyle="miter"/>
            <v:imagedata r:id="rId8" o:title="base_23825_53869_32770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зала (зала обслуживания посетителей) от 50 кв. м до 100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22.25pt;height:33.75pt" coordsize="" o:spt="100" adj="0,,0" path="" filled="f" stroked="f">
            <v:stroke joinstyle="miter"/>
            <v:imagedata r:id="rId9" o:title="base_23825_53869_32771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зала (зала обслуживания посетителей) от 100 кв. м до 150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10" o:title="base_23825_53869_32772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зала (зала обслуживания посетителей),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розничной торговли и для оказания услуг общественного питания с реализацией алкогольной продукции и (или) пива (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подпункты 6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зала (зала обслуживания посетителей) до 50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23pt;height:33.75pt" coordsize="" o:spt="100" adj="0,,0" path="" filled="f" stroked="f">
            <v:stroke joinstyle="miter"/>
            <v:imagedata r:id="rId11" o:title="base_23825_53869_32773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зала (зала обслуживания посетителей),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</w:t>
      </w:r>
      <w:hyperlink w:anchor="P2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7б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без реализации алкогольной продукции и (или) пива: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места от 5 кв. м до 15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0,7;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места от 15 кв. м и выше значение корректирующего коэффициента рассчитывается: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28.25pt;height:33.75pt" coordsize="" o:spt="100" adj="0,,0" path="" filled="f" stroked="f">
            <v:stroke joinstyle="miter"/>
            <v:imagedata r:id="rId12" o:title="base_23825_53869_32774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</w:t>
      </w:r>
      <w:hyperlink w:anchor="P2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7б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с реализацией алкогольной продукции и (или) пива: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места от 5 кв. м до 15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места от 15 кв. м и выше значение корректирующего коэффициента рассчитывается: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2" style="width:129pt;height:33.75pt" coordsize="" o:spt="100" adj="0,,0" path="" filled="f" stroked="f">
            <v:stroke joinstyle="miter"/>
            <v:imagedata r:id="rId13" o:title="base_23825_53869_32775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места,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хранению автотранспортных средств на платных стоянках </w:t>
      </w:r>
      <w:hyperlink w:anchor="P1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4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стоянки до 1000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стоянки более 1000 кв. м значение 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pict>
          <v:shape id="_x0000_i1033" style="width:148.5pt;height:33.75pt" coordsize="" o:spt="100" adj="0,,0" path="" filled="f" stroked="f">
            <v:stroke joinstyle="miter"/>
            <v:imagedata r:id="rId14" o:title="base_23825_53869_32776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стоянки,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временному размещению и проживанию </w:t>
      </w:r>
      <w:hyperlink w:anchor="P3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12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спального помещения до 50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спального помещения от 50 кв. м до 500 кв. м включительно значение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рассчитывается по формуле: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4" style="width:123pt;height:33.75pt" coordsize="" o:spt="100" adj="0,,0" path="" filled="f" stroked="f">
            <v:stroke joinstyle="miter"/>
            <v:imagedata r:id="rId15" o:title="base_23825_53869_32777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спального помещения,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передаче во временное владение и (или) пользование торговых мест </w:t>
      </w:r>
      <w:hyperlink w:anchor="P3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13б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торгового места от 5 кв. м до 15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0,8;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торгового места от 15 кв. м и выше значение корректирующего коэффициента рассчитывается: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5" style="width:129pt;height:33.75pt" coordsize="" o:spt="100" adj="0,,0" path="" filled="f" stroked="f">
            <v:stroke joinstyle="miter"/>
            <v:imagedata r:id="rId16" o:title="base_23825_53869_32778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места,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передаче во временное владение и (или) пользование земельных участков для организации торговых мест и объектов организации общественного питания </w:t>
      </w:r>
      <w:hyperlink w:anchor="P39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14б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при площади земельного участка от 10 кв. м до 50 кв. м включительно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0,5;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площади земельного участка от 15 кв. м и выше значение корректирующего коэффициента рассчитывается: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8D7701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pict>
          <v:shape id="_x0000_i1036" style="width:129pt;height:33.75pt" coordsize="" o:spt="100" adj="0,,0" path="" filled="f" stroked="f">
            <v:stroke joinstyle="miter"/>
            <v:imagedata r:id="rId17" o:title="base_23825_53869_32779"/>
            <v:formulas/>
            <v:path o:connecttype="segments"/>
          </v:shape>
        </w:pic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где: S - площадь земельного участка, кв. м.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видов предпринимательской деятельности, указанных в </w:t>
      </w:r>
      <w:hyperlink w:anchor="P1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6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7в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корректирующий коэффициент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2041"/>
      </w:tblGrid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включительно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 26 до 50 человек включительно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041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распространения и (или) размещения наружной рекламы </w:t>
      </w:r>
      <w:hyperlink w:anchor="P2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10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корректирующий коэффициент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2"/>
        <w:gridCol w:w="1928"/>
      </w:tblGrid>
      <w:tr w:rsidR="00FE6684" w:rsidRPr="009B50B9">
        <w:tc>
          <w:tcPr>
            <w:tcW w:w="702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192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</w:t>
            </w:r>
          </w:p>
        </w:tc>
      </w:tr>
      <w:tr w:rsidR="00FE6684" w:rsidRPr="009B50B9">
        <w:tc>
          <w:tcPr>
            <w:tcW w:w="702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1928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FE6684" w:rsidRPr="009B50B9">
        <w:tc>
          <w:tcPr>
            <w:tcW w:w="702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38 кв. м включительно</w:t>
            </w:r>
          </w:p>
        </w:tc>
        <w:tc>
          <w:tcPr>
            <w:tcW w:w="192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0,86+1,44/S</w:t>
            </w:r>
          </w:p>
        </w:tc>
      </w:tr>
      <w:tr w:rsidR="00FE6684" w:rsidRPr="009B50B9">
        <w:tc>
          <w:tcPr>
            <w:tcW w:w="702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192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0,6+10,8/S</w:t>
            </w:r>
          </w:p>
        </w:tc>
      </w:tr>
      <w:tr w:rsidR="00FE6684" w:rsidRPr="009B50B9">
        <w:tc>
          <w:tcPr>
            <w:tcW w:w="702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1928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0,1+37,8/S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автотранспортных услуг по перевозке грузов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Для оказания автотранспортных услуг по перевозке пассажиров значение корректирующего коэффициента имеет следующее значение: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до 13 посадочных мест в одном транспортном средстве - 1,0;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свыше 13 посадочных мест в одном транспортном средстве на внутрирайонных маршрутах - 0,6;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независимо от количества посадочных мест в одном транспортном средстве на междугородних маршрутах - 1,0.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передаче во временное владение и (или) пользование торговых мест </w:t>
      </w:r>
      <w:hyperlink w:anchor="P3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13а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0,07.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передаче во временное владение и (или) пользование земельных участков для организации торговых мест и объектов организации общественного питания </w:t>
      </w:r>
      <w:hyperlink w:anchor="P3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(подпункт 14а пункта 2)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0,8.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Для распространения и (или) размещения рекламы на автобусах любых типов, легковых и грузовых автомобилях, прицепах, полуприцепах и прицепах-роспусках значение корректирующего коэффициента принимается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1,0.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Корректирующий коэффициент определяется с точностью до второго знака после запятой в соответствии с арифметическими правилами округления.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3)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.3 - корректирующий коэффициент, учитывающий место осуществления видов предпринимательской деятельности, указанных в </w:t>
      </w:r>
      <w:hyperlink w:anchor="P1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за исключением: </w:t>
      </w:r>
      <w:hyperlink w:anchor="P1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 2 подпункты 5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(перевозка пассажиров, грузов), </w:t>
      </w:r>
      <w:hyperlink w:anchor="P25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7в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(развозная, разносная торговля), </w:t>
      </w:r>
      <w:hyperlink w:anchor="P32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(реклама на автотранспортных машинах) настоящего Решения (так как данные виды предпринимательской деятельности не имеют определенного места деятельности)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0"/>
        <w:gridCol w:w="2054"/>
      </w:tblGrid>
      <w:tr w:rsidR="00FE6684" w:rsidRPr="009B50B9">
        <w:tc>
          <w:tcPr>
            <w:tcW w:w="6610" w:type="dxa"/>
            <w:tcBorders>
              <w:top w:val="single" w:sz="4" w:space="0" w:color="auto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городских и сельских поселений и зон (населенных пунктов в границах их территорий)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корректирующего коэффициента </w:t>
            </w: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Город Петухово.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1: центр населенного пункта, включая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К.Маркса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Мира, ул. 9 Мая, ул. Калинина, ул. Чкалова до ул. Пушкина, ул. Кирова до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К.Либкнехта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Коммунальная, ул. Крупской,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Кулишева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, ул. Куйбышева, ул. Московская, ул. Новая:</w:t>
            </w:r>
            <w:proofErr w:type="gramEnd"/>
          </w:p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 севера - по железной дороге;</w:t>
            </w:r>
          </w:p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востока - от железной дороги по ул. Железнодорожной от N 62 "а" до N 48, далее по ул. Красной от N 56 до N 52, далее 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Мира;</w:t>
            </w:r>
          </w:p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юга - от ул. Набережной по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К.Маркса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 ул. Пушкина, от ул. Пушкина по ул. Советской 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ул. Красной;</w:t>
            </w:r>
          </w:p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 запада - ул. Октябрьская, далее от дома N 3 по ул. Октябрьской к заводскому району пятиэтажных домов, далее ул. Железнодорожная от N 31 до N 14 "а", включая территорию рынка, далее по железной дороги, включая привокзальную площадь.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Трасса "Байкал".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2: ул. Свободы, пер. Озерный, ул. Первомайская, пер. Проходной, ул. Приозерная, ул. Пролетарская, ул. Зеленая, ул. Заводская, ул. Дзержинского, ул. Рабочая,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К.Маркса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123 до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Мозолева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включая ул. Котовского, от ул. Пушкина по ул. Чкалова до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Мозолева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ул. Красной по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К.Либкнехта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южном направлении, от ул. Советской по ул. Красной до ул. Рабочей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пер. Короткий,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Р.Люксембург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Гоголя, ул. Набережная, от ул. Кирова по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М.Горького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южном направлении, от ул. Советской по ул. Пушкина в западном направлении до ул. Луговой, ул. Ленина, ул. Труда, ул.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К.Цеткин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3: ул. Островского, ул. Некрасова, ул. Сибирская, ул. Коминтерна, ул. Восточная, ул. Мичурина, ул. Строительная, пер. Степной, ул. Тельмана, ул. Урицкого, ул. Уральская, ул. Суворова, ул. Энергетиков, пос. Зверофермы, пос. СМП, пос. КМП</w:t>
            </w:r>
            <w:proofErr w:type="gram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0,65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МО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Актабанский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Актабан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Орлово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Песьяное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Большегусиновский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Большое Гусиное</w:t>
            </w:r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Большекаменский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Большое Каменное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д. Новая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Лебяжка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Жидковский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Жидки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Бердюжка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Зотинский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Зотино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Горбунешное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"Курортный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п. Курорт "Озеро Медвежье"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Утчанское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Матасинский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Матасы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Горбуново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Новоберезовский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Новоберезово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Вишневка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Пьянково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Новогеоргиевский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 Новогеоргиевка 2-я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Воробьи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Золотовка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"Новоильинский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Новое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"Октябрьский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Октябрьское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Первомайская</w:t>
            </w:r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"Пашковский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Пашково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Буранное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Косачево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Петуховский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Петухово</w:t>
            </w:r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Приютинский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Большое Приютное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Малое Приютное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Подувальная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Рынковский</w:t>
            </w:r>
            <w:proofErr w:type="spell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Рынки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Новогеоргиевка 1-я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Староберезово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"Стрелецкий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 Стрельцы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Богданы</w: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Теплодубровное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single" w:sz="4" w:space="0" w:color="auto"/>
              <w:bottom w:val="nil"/>
            </w:tcBorders>
            <w:vAlign w:val="bottom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 "Троицкий сельский совет":</w:t>
            </w:r>
          </w:p>
        </w:tc>
        <w:tc>
          <w:tcPr>
            <w:tcW w:w="2054" w:type="dxa"/>
            <w:tcBorders>
              <w:top w:val="single" w:sz="4" w:space="0" w:color="auto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Троицкое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E6684" w:rsidRPr="009B50B9">
        <w:tblPrEx>
          <w:tblBorders>
            <w:insideH w:val="none" w:sz="0" w:space="0" w:color="auto"/>
          </w:tblBorders>
        </w:tblPrEx>
        <w:tc>
          <w:tcPr>
            <w:tcW w:w="6610" w:type="dxa"/>
            <w:tcBorders>
              <w:top w:val="nil"/>
              <w:bottom w:val="single" w:sz="4" w:space="0" w:color="auto"/>
            </w:tcBorders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Казанцевское</w:t>
            </w:r>
            <w:proofErr w:type="spellEnd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4)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.4 - корректирующий коэффициент, учитывающий среднемесячный размер начисленной заработной платы в расчете на одного работника за налоговый период, применяется для всех видов предпринимательской деятельности, указанных в </w:t>
      </w:r>
      <w:hyperlink w:anchor="P1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заработной плате ниже или на уровне прожиточного минимума для трудоспособного населения в Курганской области, утвержденного законом Курганской области за предшествующий период - 1,0;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заработной плате выше прожиточного минимума для трудоспособного населения в Курганской области, утвержденного законом Курганской области за предшествующий период - 0,95.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5)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вида предпринимательской деятельности, указанного в </w:t>
      </w:r>
      <w:hyperlink w:anchor="P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подпункте 6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 Корректирующий коэффициент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6)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коэффициент, учитывающий трудоустройство лиц, ранее судимых, с ограниченными физическими возможностями, несовершеннолетних и выпускников интернатов и детских домов; применяется для всех видов предпринимательской деятельности, указанных в </w:t>
      </w:r>
      <w:hyperlink w:anchor="P13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следующее значение: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- при трудоустройстве лиц, ранее судимых, с ограниченными физическими возможностями - 0,9;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- при трудоустройстве несовершеннолетних, выпускников интернатов и детских домов - 0,8.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Количество устроенных на работу указанных выше лиц должно быть более 10 процентов от общего количества наемных работников.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7)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.7 - корректирующий коэффициент, учитывающий категорию налогоплательщиков и (или) лиц, которым оказываются соответствующие услуги; применяется при осуществлении видов деятельности, указанных в </w:t>
      </w:r>
      <w:hyperlink w:anchor="P14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2041"/>
      </w:tblGrid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.7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E6684" w:rsidRPr="009B50B9">
        <w:tc>
          <w:tcPr>
            <w:tcW w:w="6902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E6684" w:rsidRPr="009B50B9">
        <w:tc>
          <w:tcPr>
            <w:tcW w:w="6902" w:type="dxa"/>
            <w:vAlign w:val="center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041" w:type="dxa"/>
          </w:tcPr>
          <w:p w:rsidR="00FE6684" w:rsidRPr="009B50B9" w:rsidRDefault="00FE6684" w:rsidP="009B50B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0B9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8)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.8 - фактор, учитывающий фактический период деятельности. Значение фактора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 Налогоплательщик несет ответственность за достоверность представленных сведений о фактически отработанном времени, самостоятельно подтверждает документально период времени, в котором деятельность не осуществлялась. Документальным подтверждением могут являться: при временной нетрудоспособности - больничный лист, аварийной ситуации - экспертиза соответствующей службы, временном приостановлении деятельности по решению суда - решение суда, прочем долгом отсутствии - транспортные билеты, путевки отдыха и т.д. Также коэффициент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можно скорректировать, если деятельность осуществлялась не каждый день, при работе с санитарными днями, с выходными днями, но не более двух дней в неделю, согласно утвержденному графику работы. Для видов деятельности, которые не имеют утвержденного графика работы (например,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грузоперевозки) 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значение коэффициента принимается равным 1.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 числа первого месяца следующего налогового периода (одновременно с соответствующей налоговой декларацией).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6. Признать утратившими силу: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hyperlink r:id="rId18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12 ноября 2007 года N 265 "О введении </w:t>
      </w:r>
      <w:r w:rsidRPr="009B50B9">
        <w:rPr>
          <w:rFonts w:ascii="Times New Roman" w:hAnsi="Times New Roman" w:cs="Times New Roman"/>
          <w:b w:val="0"/>
          <w:sz w:val="24"/>
          <w:szCs w:val="24"/>
        </w:rPr>
        <w:lastRenderedPageBreak/>
        <w:t>системы налогообложения в виде единого налога на вмененный доход для отдельных видов деятельности";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hyperlink r:id="rId19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30 октября 2012 года N 241 "О внесении изменений в Решение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12 ноября 2007 года N 265 "О введении системы налогообложения в виде единого налога на вмененный доход для отдельных видов деятельности";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hyperlink r:id="rId20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30 июня 2008 г. N 354 "О внесении дополнений в Решение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12 ноября 2007 года N 265 "О введении системы налогообложения в виде единого налога на вмененный доход для отдельных видов деятельности;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hyperlink r:id="rId21" w:history="1">
        <w:r w:rsidRPr="009B50B9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18 мая 2017 г. N 158 "О корректировке коэффициентов базовой доходности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>".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>7. Значения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определяются решениями Дум на период не менее чем на календарный год. Если решения о внесении изменений в действующие значения корректирующего коэффициента К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не приняты до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8. Настоящее Решение вступает в силу не ранее 1-го числа очередного налогового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периода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но не ранее, чем по истечении одного месяца со дня его официального опубликования.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9. Опубликовать настоящее Решение на официальном сайте Администрации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Петуховского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района и общественно-политической газете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Петуховского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района "Заря".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10. </w:t>
      </w:r>
      <w:proofErr w:type="gramStart"/>
      <w:r w:rsidRPr="009B50B9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выполнением настоящего Решения возложить на планово-бюджетную комиссию </w:t>
      </w:r>
      <w:proofErr w:type="spellStart"/>
      <w:r w:rsidRPr="009B50B9">
        <w:rPr>
          <w:rFonts w:ascii="Times New Roman" w:hAnsi="Times New Roman" w:cs="Times New Roman"/>
          <w:b w:val="0"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Думы.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Председатель</w:t>
      </w: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Петуховской</w:t>
      </w:r>
      <w:proofErr w:type="spellEnd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районной Думы</w:t>
      </w: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Н.В.</w:t>
      </w:r>
      <w:r w:rsidR="008D7701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С</w:t>
      </w:r>
      <w:r w:rsidR="009B50B9">
        <w:rPr>
          <w:rFonts w:ascii="Times New Roman" w:hAnsi="Times New Roman" w:cs="Times New Roman"/>
          <w:b w:val="0"/>
          <w:i/>
          <w:sz w:val="24"/>
          <w:szCs w:val="24"/>
        </w:rPr>
        <w:t>унегина</w:t>
      </w:r>
      <w:proofErr w:type="spellEnd"/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 xml:space="preserve">Временно </w:t>
      </w:r>
      <w:proofErr w:type="gramStart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исполняющий</w:t>
      </w:r>
      <w:proofErr w:type="gramEnd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 xml:space="preserve"> обязанности</w:t>
      </w: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 xml:space="preserve">Главы </w:t>
      </w:r>
      <w:proofErr w:type="spellStart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Петуховского</w:t>
      </w:r>
      <w:proofErr w:type="spellEnd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FE6684" w:rsidRPr="009B50B9" w:rsidRDefault="00FE6684" w:rsidP="009B50B9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В.И.</w:t>
      </w:r>
      <w:r w:rsidR="008D7701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bookmarkStart w:id="23" w:name="_GoBack"/>
      <w:bookmarkEnd w:id="23"/>
      <w:r w:rsidRPr="009B50B9">
        <w:rPr>
          <w:rFonts w:ascii="Times New Roman" w:hAnsi="Times New Roman" w:cs="Times New Roman"/>
          <w:b w:val="0"/>
          <w:i/>
          <w:sz w:val="24"/>
          <w:szCs w:val="24"/>
        </w:rPr>
        <w:t>С</w:t>
      </w:r>
      <w:r w:rsidR="009B50B9">
        <w:rPr>
          <w:rFonts w:ascii="Times New Roman" w:hAnsi="Times New Roman" w:cs="Times New Roman"/>
          <w:b w:val="0"/>
          <w:i/>
          <w:sz w:val="24"/>
          <w:szCs w:val="24"/>
        </w:rPr>
        <w:t>лесаренко</w:t>
      </w:r>
    </w:p>
    <w:p w:rsidR="00FE6684" w:rsidRPr="009B50B9" w:rsidRDefault="00FE6684" w:rsidP="009B50B9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sectPr w:rsidR="00FE6684" w:rsidRPr="009B50B9" w:rsidSect="00D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84"/>
    <w:rsid w:val="00117662"/>
    <w:rsid w:val="0081092B"/>
    <w:rsid w:val="008D7701"/>
    <w:rsid w:val="009B50B9"/>
    <w:rsid w:val="00CC172D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hyperlink" Target="consultantplus://offline/ref=D180352582A5E1EF3E5F650E042198455D1F1A90FF5179D352DD912F3157DEE4ACE3732363F8B40FF6338D79D4137D3CUBP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80352582A5E1EF3E5F650E042198455D1F1A90F95376D750DD912F3157DEE4ACE3732363F8B40FF6338D79D4137D3CUBPAK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image" Target="media/image11.wmf"/><Relationship Id="rId20" Type="http://schemas.openxmlformats.org/officeDocument/2006/relationships/hyperlink" Target="consultantplus://offline/ref=D180352582A5E1EF3E5F650E042198455D1F1A90FC507FD254DD912F3157DEE4ACE3732363F8B40FF6338D79D4137D3CUBPAK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D180352582A5E1EF3E5F7B03124DC44F5D164C99FF5675810A82CA72665ED4B3EBAC2A7327AEBE0DF626D9218E44703DB06259092297510DU5PEK" TargetMode="Externa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hyperlink" Target="consultantplus://offline/ref=D180352582A5E1EF3E5F650E042198455D1F1A90FF5179D555DD912F3157DEE4ACE3732363F8B40FF6338D79D4137D3CUBPA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4839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8</cp:revision>
  <dcterms:created xsi:type="dcterms:W3CDTF">2019-09-03T10:15:00Z</dcterms:created>
  <dcterms:modified xsi:type="dcterms:W3CDTF">2019-09-03T10:19:00Z</dcterms:modified>
</cp:coreProperties>
</file>