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82" w:rsidRDefault="00330E82">
      <w:pPr>
        <w:pStyle w:val="ConsPlusTitlePage"/>
      </w:pPr>
      <w:bookmarkStart w:id="0" w:name="_GoBack"/>
      <w:bookmarkEnd w:id="0"/>
      <w:r>
        <w:br/>
      </w:r>
    </w:p>
    <w:p w:rsidR="00330E82" w:rsidRDefault="00330E82">
      <w:pPr>
        <w:pStyle w:val="ConsPlusNormal"/>
        <w:jc w:val="both"/>
        <w:outlineLvl w:val="0"/>
      </w:pPr>
    </w:p>
    <w:p w:rsidR="00330E82" w:rsidRPr="00E45CC1" w:rsidRDefault="009940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Лебяжьевская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</w:t>
      </w:r>
    </w:p>
    <w:p w:rsidR="00330E82" w:rsidRPr="00E45CC1" w:rsidRDefault="009940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Курганской области</w:t>
      </w:r>
    </w:p>
    <w:p w:rsidR="00330E82" w:rsidRPr="00E45CC1" w:rsidRDefault="00330E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9940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330E82" w:rsidRPr="00E45CC1" w:rsidRDefault="009940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от 14 ноября 2007 г. №326</w:t>
      </w:r>
    </w:p>
    <w:p w:rsidR="00330E82" w:rsidRPr="00E45CC1" w:rsidRDefault="00330E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9940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о введении системы налогообложения 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330E82" w:rsidRPr="00E45CC1" w:rsidRDefault="009940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виде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единого налога на вмененный доход</w:t>
      </w:r>
    </w:p>
    <w:p w:rsidR="00330E82" w:rsidRPr="009940C0" w:rsidRDefault="00994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для отдельных видов деятельности</w:t>
      </w:r>
    </w:p>
    <w:p w:rsidR="00330E82" w:rsidRPr="009940C0" w:rsidRDefault="00330E82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82" w:rsidRPr="00E45C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82" w:rsidRPr="00E45CC1" w:rsidRDefault="00330E82" w:rsidP="00E45C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330E82" w:rsidRPr="00E45CC1" w:rsidRDefault="00330E82" w:rsidP="00E45C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Лебяжьевской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330E82" w:rsidRPr="00E45CC1" w:rsidRDefault="00330E82" w:rsidP="00E45C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23.10.2009 </w:t>
            </w:r>
            <w:hyperlink r:id="rId5" w:history="1">
              <w:r w:rsidR="000A509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526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19.04.2012 </w:t>
            </w:r>
            <w:hyperlink r:id="rId6" w:history="1">
              <w:r w:rsidR="000A509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226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18.10.2012 </w:t>
            </w:r>
            <w:hyperlink r:id="rId7" w:history="1">
              <w:r w:rsidR="000A509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253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330E82" w:rsidRPr="00E45CC1" w:rsidRDefault="00330E82" w:rsidP="000A50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16.02.2017 </w:t>
            </w:r>
            <w:hyperlink r:id="rId8" w:history="1">
              <w:r w:rsidR="000A509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110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18.05.2017 </w:t>
            </w:r>
            <w:hyperlink r:id="rId9" w:history="1">
              <w:r w:rsidR="000A509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129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1. Ввести на территории муниципального образования -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Лебяжьевского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16"/>
      <w:bookmarkEnd w:id="1"/>
      <w:r w:rsidRPr="00E45CC1">
        <w:rPr>
          <w:rFonts w:ascii="Times New Roman" w:hAnsi="Times New Roman" w:cs="Times New Roman"/>
          <w:b w:val="0"/>
          <w:sz w:val="24"/>
          <w:szCs w:val="24"/>
        </w:rPr>
        <w:t>2. Установить, что единый налог применяется в отношении следующих видов предпринимательской деятельности: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17"/>
      <w:bookmarkEnd w:id="2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1) оказания бытовых услуг, классифицируемых в соответствии с Общероссийским </w:t>
      </w:r>
      <w:hyperlink r:id="rId1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видов экономической деятельности (ОКВЭД) 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ОК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029-2014 (КДЕС ред. 2), кроме деятельности бань (</w:t>
      </w:r>
      <w:hyperlink r:id="rId11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96.04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 1 в ред. </w:t>
      </w:r>
      <w:hyperlink r:id="rId1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16.02.2017 N 110)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19"/>
      <w:bookmarkEnd w:id="3"/>
      <w:r w:rsidRPr="00E45CC1">
        <w:rPr>
          <w:rFonts w:ascii="Times New Roman" w:hAnsi="Times New Roman" w:cs="Times New Roman"/>
          <w:b w:val="0"/>
          <w:sz w:val="24"/>
          <w:szCs w:val="24"/>
        </w:rPr>
        <w:t>2) оказание ветеринарных услуг;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0"/>
      <w:bookmarkEnd w:id="4"/>
      <w:r w:rsidRPr="00E45CC1">
        <w:rPr>
          <w:rFonts w:ascii="Times New Roman" w:hAnsi="Times New Roman" w:cs="Times New Roman"/>
          <w:b w:val="0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18.10.2012 </w:t>
      </w:r>
      <w:hyperlink r:id="rId13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N 253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от 18.05.2017 </w:t>
      </w:r>
      <w:hyperlink r:id="rId14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N 129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22"/>
      <w:bookmarkEnd w:id="5"/>
      <w:r w:rsidRPr="00E45CC1">
        <w:rPr>
          <w:rFonts w:ascii="Times New Roman" w:hAnsi="Times New Roman" w:cs="Times New Roman"/>
          <w:b w:val="0"/>
          <w:sz w:val="24"/>
          <w:szCs w:val="24"/>
        </w:rPr>
        <w:t>4)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18.10.2012 </w:t>
      </w:r>
      <w:hyperlink r:id="rId15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N 253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от 18.05.2017 </w:t>
      </w:r>
      <w:hyperlink r:id="rId16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N 129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4"/>
      <w:bookmarkEnd w:id="6"/>
      <w:r w:rsidRPr="00E45CC1">
        <w:rPr>
          <w:rFonts w:ascii="Times New Roman" w:hAnsi="Times New Roman" w:cs="Times New Roman"/>
          <w:b w:val="0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а) по перевозке грузов;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б) по перевозке пассажиров;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27"/>
      <w:bookmarkEnd w:id="7"/>
      <w:r w:rsidRPr="00E45CC1">
        <w:rPr>
          <w:rFonts w:ascii="Times New Roman" w:hAnsi="Times New Roman" w:cs="Times New Roman"/>
          <w:b w:val="0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28"/>
      <w:bookmarkEnd w:id="8"/>
      <w:r w:rsidRPr="00E45CC1">
        <w:rPr>
          <w:rFonts w:ascii="Times New Roman" w:hAnsi="Times New Roman" w:cs="Times New Roman"/>
          <w:b w:val="0"/>
          <w:sz w:val="24"/>
          <w:szCs w:val="24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29"/>
      <w:bookmarkEnd w:id="9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а)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</w:t>
      </w:r>
      <w:r w:rsidRPr="00E45CC1">
        <w:rPr>
          <w:rFonts w:ascii="Times New Roman" w:hAnsi="Times New Roman" w:cs="Times New Roman"/>
          <w:b w:val="0"/>
          <w:sz w:val="24"/>
          <w:szCs w:val="24"/>
        </w:rPr>
        <w:lastRenderedPageBreak/>
        <w:t>превышает 5 квадратных метров;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30"/>
      <w:bookmarkEnd w:id="10"/>
      <w:r w:rsidRPr="00E45CC1">
        <w:rPr>
          <w:rFonts w:ascii="Times New Roman" w:hAnsi="Times New Roman" w:cs="Times New Roman"/>
          <w:b w:val="0"/>
          <w:sz w:val="24"/>
          <w:szCs w:val="24"/>
        </w:rPr>
        <w:t>б)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в)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32"/>
      <w:bookmarkEnd w:id="11"/>
      <w:r w:rsidRPr="00E45CC1">
        <w:rPr>
          <w:rFonts w:ascii="Times New Roman" w:hAnsi="Times New Roman" w:cs="Times New Roman"/>
          <w:b w:val="0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33"/>
      <w:bookmarkEnd w:id="12"/>
      <w:r w:rsidRPr="00E45CC1">
        <w:rPr>
          <w:rFonts w:ascii="Times New Roman" w:hAnsi="Times New Roman" w:cs="Times New Roman"/>
          <w:b w:val="0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34"/>
      <w:bookmarkEnd w:id="13"/>
      <w:r w:rsidRPr="00E45CC1">
        <w:rPr>
          <w:rFonts w:ascii="Times New Roman" w:hAnsi="Times New Roman" w:cs="Times New Roman"/>
          <w:b w:val="0"/>
          <w:sz w:val="24"/>
          <w:szCs w:val="24"/>
        </w:rPr>
        <w:t>10) распространение наружной рекламы с использованием рекламных конструкций: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а) рекламы с любым способом нанесения изображения, за исключением наружной рекламы с автоматической сменой изображения;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б) рекламой с автоматической сменой изображения;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в) рекламы посредством электронных табло;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38"/>
      <w:bookmarkEnd w:id="14"/>
      <w:r w:rsidRPr="00E45CC1">
        <w:rPr>
          <w:rFonts w:ascii="Times New Roman" w:hAnsi="Times New Roman" w:cs="Times New Roman"/>
          <w:b w:val="0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 11 в ред. </w:t>
      </w:r>
      <w:hyperlink r:id="rId1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129)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40"/>
      <w:bookmarkEnd w:id="15"/>
      <w:r w:rsidRPr="00E45CC1">
        <w:rPr>
          <w:rFonts w:ascii="Times New Roman" w:hAnsi="Times New Roman" w:cs="Times New Roman"/>
          <w:b w:val="0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6" w:name="P41"/>
      <w:bookmarkEnd w:id="16"/>
      <w:r w:rsidRPr="00E45CC1">
        <w:rPr>
          <w:rFonts w:ascii="Times New Roman" w:hAnsi="Times New Roman" w:cs="Times New Roman"/>
          <w:b w:val="0"/>
          <w:sz w:val="24"/>
          <w:szCs w:val="24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7" w:name="P44"/>
      <w:bookmarkEnd w:id="17"/>
      <w:r w:rsidRPr="00E45CC1">
        <w:rPr>
          <w:rFonts w:ascii="Times New Roman" w:hAnsi="Times New Roman" w:cs="Times New Roman"/>
          <w:b w:val="0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а) земельных участков площадью, не превышающей 10 квадратных метров;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б) земельных участков площадью, превышающей 10 квадратных метров.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базовой доходности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</w:t>
      </w:r>
      <w:hyperlink w:anchor="P48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пунктом 4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24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значений факторов, учитывающих особенности ведения (влияния на результат) предпринимательской деятельности. Если для отдельных видов предпринимательской деятельности значение одного или нескольких факторов не определены, то такие факторы в расчете значения коэффициента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не учитываются. Значения коэффициента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фактора К2.2 определяются с точностью до третьего знака после запятой в соответствии с арифметическими правилами округления и не могут быть менее 0,005.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8" w:name="P48"/>
      <w:bookmarkEnd w:id="18"/>
      <w:r w:rsidRPr="00E45CC1">
        <w:rPr>
          <w:rFonts w:ascii="Times New Roman" w:hAnsi="Times New Roman" w:cs="Times New Roman"/>
          <w:b w:val="0"/>
          <w:sz w:val="24"/>
          <w:szCs w:val="24"/>
        </w:rPr>
        <w:t>4.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.1 - фактор,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деятельности, применяется для всех видов предпринимательской деятельности, указанных в </w:t>
      </w:r>
      <w:hyperlink w:anchor="P16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4.1. При оказании бытовых услуг (вид предпринимательской деятельности, указанный в </w:t>
      </w:r>
      <w:hyperlink w:anchor="P1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подпункте 1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в населенных пунктах, за исключением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р.п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E45CC1">
        <w:rPr>
          <w:rFonts w:ascii="Times New Roman" w:hAnsi="Times New Roman" w:cs="Times New Roman"/>
          <w:b w:val="0"/>
          <w:sz w:val="24"/>
          <w:szCs w:val="24"/>
        </w:rPr>
        <w:lastRenderedPageBreak/>
        <w:t>Лебяжье,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принимается равным 0,4.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При оказании бытовых услуг в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р.п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>. Лебяжье фактор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55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фактора, соответствующее этому виду (подгруппе) услуг;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55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 по виду (подгруппе) услуг, объем которого за налоговый период в общем объеме оказанных услуг составляет более 50 процентов;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55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 применяется значение фактора по виду (подгруппе) услуг, по которому предусмотрено наибольшее значение фактора.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20"/>
      </w:tblGrid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9" w:name="P55"/>
            <w:bookmarkEnd w:id="19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1620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парикмахерских услуг (кроме парикмахерских услуг, оказываемых салонами)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0,55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услуг фотоателье и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8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129)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55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принимается равным 1 по каждому из таких пунктов (мест).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4.2. При оказании услуг по предоставлению во временное владение (пользование) мест для стоянки автомототранспортных средств (вид предпринимательской деятельности, </w:t>
      </w:r>
      <w:r w:rsidRPr="00E45CC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указанный в </w:t>
      </w:r>
      <w:hyperlink w:anchor="P2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подпункте 4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принимается равным 0,95.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18.10.2012 </w:t>
      </w:r>
      <w:hyperlink r:id="rId19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N 253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от 18.05.2017 </w:t>
      </w:r>
      <w:hyperlink r:id="rId2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N 129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4.3. При розничной торговле (виды предпринимательской деятельности, указанные в </w:t>
      </w:r>
      <w:hyperlink w:anchor="P2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8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7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в населенных пунктах, за исключением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р.п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>. Лебяжье, фактор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- розничная торговля без реализации алкогольной продукции и (или) пива - 0,4;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- розничная торговля с реализацией алкогольной продукции и (или) пива (независимо от объемов их реализации) - 0,7.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1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129)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в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р.п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>. Лебяжье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- с реализацией алкогольной продукции и (или) пива (независимо от объемов их реализации)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принимается равным 1;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одним видом (группой) товаров, указанным в </w:t>
      </w:r>
      <w:hyperlink w:anchor="P96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принимается значение фактора, соответствующее этому виду (группе) товаров;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96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фактора по виду (группе) товаров, объем 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96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реализации каждого вида (группы) товаров за налоговый период в общем объеме реализации не более 50 процентов применяется значение фактора по виду (группе) товаров, по которому предусмотрено наибольшее значение фактора.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20"/>
      </w:tblGrid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0" w:name="P96"/>
            <w:bookmarkEnd w:id="20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1620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аптеки, аптечные пункты в зданиях учреждений здравоохранения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за исключением реализуемых через аптеки, аптечные пункты в зданиях учреждений здравоохранения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Продовольственные товары, за исключением алкогольной продукции </w:t>
            </w: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 (или) пива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0,8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Прочие товары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129)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 </w:t>
      </w:r>
      <w:hyperlink w:anchor="P96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 При отсутствии раздельного учета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принимается равным 1,0 по каждому из таких объектов розничной торговли.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4.4. При оказании услуг общественного питания (виды предпринимательской деятельности, указанные в </w:t>
      </w:r>
      <w:hyperlink w:anchor="P3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8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33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9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фактор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20"/>
      </w:tblGrid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1620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не реализующие алкогольную продукцию и (или) пива: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столовые в учреждениях здравоохранения, социального обеспечения и образовательных учреждениях, указанных в </w:t>
            </w:r>
            <w:hyperlink r:id="rId23" w:history="1"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подпунктах 1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4" w:history="1"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2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5" w:history="1"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3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6" w:history="1"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27" w:history="1"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7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hyperlink r:id="rId28" w:history="1">
              <w:r w:rsidRPr="00E45CC1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8 пункта 4 статьи 12</w:t>
              </w:r>
            </w:hyperlink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Закона Российской Федерации "Об образовании" (за исключением оказания услуг общественного питания учреждениями образования, здравоохранения и социального обеспечения)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0,03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столовые, состоящие на балансе организаций и обслуживающие только работников этих организаций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0,35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прочие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</w:tbl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9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129)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4.5. При распространении наружной рекламы с использованием рекламных конструкций (виды предпринимательской деятельности, указанные в </w:t>
      </w:r>
      <w:hyperlink w:anchor="P34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10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38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11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фактор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20"/>
      </w:tblGrid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1" w:name="P141"/>
            <w:bookmarkEnd w:id="21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1620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1. Наружная реклама с любым способом нанесения изображения, включая рекламу с автоматической сменой изображения:</w:t>
            </w:r>
          </w:p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реклама</w:t>
            </w:r>
          </w:p>
        </w:tc>
        <w:tc>
          <w:tcPr>
            <w:tcW w:w="1620" w:type="dxa"/>
            <w:vAlign w:val="bottom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0,02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0,02</w:t>
            </w:r>
          </w:p>
        </w:tc>
      </w:tr>
      <w:tr w:rsidR="00330E82" w:rsidRPr="00E45CC1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реклама товаров (за исключением алкогольной продукции, пива, табака и (или) табачных изделий) местных (областных) товаропроизводителей:</w:t>
            </w:r>
            <w:proofErr w:type="gramEnd"/>
          </w:p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размещаемая непосредственными товаропроизводителями, а используемые щиты и иные стационарные технические средства, на которых размещена реклама (изображение), находятся в их собственности</w:t>
            </w: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0,06</w:t>
            </w:r>
          </w:p>
        </w:tc>
      </w:tr>
      <w:tr w:rsidR="00330E82" w:rsidRPr="00E45CC1">
        <w:tblPrEx>
          <w:tblBorders>
            <w:insideH w:val="nil"/>
          </w:tblBorders>
        </w:tblPrEx>
        <w:tc>
          <w:tcPr>
            <w:tcW w:w="7427" w:type="dxa"/>
            <w:tcBorders>
              <w:top w:val="nil"/>
            </w:tcBorders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0,08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0,09</w:t>
            </w:r>
          </w:p>
        </w:tc>
      </w:tr>
      <w:tr w:rsidR="00330E82" w:rsidRPr="00E45CC1">
        <w:tc>
          <w:tcPr>
            <w:tcW w:w="742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2. Наружная реклама, распространяемая и (или) размещаемая посредством электронных табло</w:t>
            </w:r>
          </w:p>
        </w:tc>
        <w:tc>
          <w:tcPr>
            <w:tcW w:w="162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</w:tbl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3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129)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Под смешанной рекламой понимается реклама, размещаемая налогоплательщиком на одном стационарном техническом средстве наружной рекламы (в том числе на многостороннем средстве, щите-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призматроне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или ином средстве с автоматической сменой изображения), содержащего (содержащих) рекламную информацию, в отношении которой в </w:t>
      </w:r>
      <w:hyperlink w:anchor="P141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 установлены различные значения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4.6. При осуществлении видов предпринимательской деятельности, указанных в </w:t>
      </w:r>
      <w:hyperlink w:anchor="P19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4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5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12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4.7. При осуществлении видов предпринимательской деятельности, указанных в </w:t>
      </w:r>
      <w:hyperlink w:anchor="P41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13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44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.1 принимается равным 0,3.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5.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.2 - фактор, учитывающий размер физического показателя, и применяется для видов предпринимательской деятельности, указанных в </w:t>
      </w:r>
      <w:hyperlink w:anchor="P1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10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2" w:name="P167"/>
      <w:bookmarkEnd w:id="22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5.1. 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(вид предпринимательской деятельности, указанных в </w:t>
      </w:r>
      <w:hyperlink w:anchor="P2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подпункте 6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общего объема реализации, при площади торгового зала до 40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торгового зала от 40 кв. м до 100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CE7B9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26.75pt;height:33.75pt" coordsize="" o:spt="100" adj="0,,0" path="" filled="f" stroked="f">
            <v:stroke joinstyle="miter"/>
            <v:imagedata r:id="rId31" o:title="base_23825_45220_32768"/>
            <v:formulas/>
            <v:path o:connecttype="segments"/>
          </v:shape>
        </w:pic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CE7B9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26.75pt;height:33.75pt" coordsize="" o:spt="100" adj="0,,0" path="" filled="f" stroked="f">
            <v:stroke joinstyle="miter"/>
            <v:imagedata r:id="rId32" o:title="base_23825_45220_32769"/>
            <v:formulas/>
            <v:path o:connecttype="segments"/>
          </v:shape>
        </w:pic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lastRenderedPageBreak/>
        <w:t>где: S - общая площадь торгового зала, кв. м.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(за исключением торговли, указанной в </w:t>
      </w:r>
      <w:hyperlink w:anchor="P16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первом абзаце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пункта) и для оказания услуг общественного питания (виды предпринимательской деятельности, указанные в </w:t>
      </w:r>
      <w:hyperlink w:anchor="P2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3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8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без реализации алкогольной продукции и (или) пива при площади торгового зала (зала обслуживания посетителей) до 30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торгового зала (зала обслуживания посетителей) от 30 кв. м до 50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CE7B9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19.25pt;height:33.75pt" coordsize="" o:spt="100" adj="0,,0" path="" filled="f" stroked="f">
            <v:stroke joinstyle="miter"/>
            <v:imagedata r:id="rId33" o:title="base_23825_45220_32770"/>
            <v:formulas/>
            <v:path o:connecttype="segments"/>
          </v:shape>
        </w:pic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50 кв. м до 100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CE7B9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17.75pt;height:33.75pt" coordsize="" o:spt="100" adj="0,,0" path="" filled="f" stroked="f">
            <v:stroke joinstyle="miter"/>
            <v:imagedata r:id="rId34" o:title="base_23825_45220_32771"/>
            <v:formulas/>
            <v:path o:connecttype="segments"/>
          </v:shape>
        </w:pic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CE7B9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32pt;height:33.75pt" coordsize="" o:spt="100" adj="0,,0" path="" filled="f" stroked="f">
            <v:stroke joinstyle="miter"/>
            <v:imagedata r:id="rId35" o:title="base_23825_45220_32772"/>
            <v:formulas/>
            <v:path o:connecttype="segments"/>
          </v:shape>
        </w:pic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5.2. При оказании услуг общественного питания (вид предпринимательской деятельности, указанный в </w:t>
      </w:r>
      <w:hyperlink w:anchor="P3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подпункте 8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с реализацией алкогольной продукции и (или) пива при площади зала обслуживания посетителей до 50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зала обслуживания посетителей от 50 кв. м до 150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CE7B9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19.25pt;height:33.75pt" coordsize="" o:spt="100" adj="0,,0" path="" filled="f" stroked="f">
            <v:stroke joinstyle="miter"/>
            <v:imagedata r:id="rId36" o:title="base_23825_45220_32773"/>
            <v:formulas/>
            <v:path o:connecttype="segments"/>
          </v:shape>
        </w:pic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где: S - общая площадь зала обслуживания посетителей, кв. м.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5.3. При оказании услуг по предоставлению во временное владение (пользование) мест для стоянки автомототранспортных средств (вид предпринимательской деятельности, указанный в </w:t>
      </w:r>
      <w:hyperlink w:anchor="P2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подпункте 4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при площади стоянки до 1000 кв. м включительно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принимается равным 1. При площади стоянки более 1000 кв. м значение фактора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рассчитывается по формуле: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18.10.2012 </w:t>
      </w:r>
      <w:hyperlink r:id="rId3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N 253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от 18.05.2017 </w:t>
      </w:r>
      <w:hyperlink r:id="rId38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N 129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CE7B9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2in;height:33.75pt" coordsize="" o:spt="100" adj="0,,0" path="" filled="f" stroked="f">
            <v:stroke joinstyle="miter"/>
            <v:imagedata r:id="rId39" o:title="base_23825_45220_32774"/>
            <v:formulas/>
            <v:path o:connecttype="segments"/>
          </v:shape>
        </w:pic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где: S - общая площадь стоянки, кв. м.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5.4. При осуществлении видов предпринимательской деятельности, указанных в </w:t>
      </w:r>
      <w:hyperlink w:anchor="P1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3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фактор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до 50 человек включительно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51 человек и более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5.5. При распространении наружной рекламы с использованием рекламных конструкций (виды предпринимательской деятельности, указанные в </w:t>
      </w:r>
      <w:hyperlink w:anchor="P34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подпункте 10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фактор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информационного поля (всех информационных полей) одного стационарного технического средства наружной рекламы (S), кв. м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(формула расчета значения) фактора К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0,86 + 1,44/S</w:t>
            </w:r>
          </w:p>
        </w:tc>
      </w:tr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0,6 + 10,8/S</w:t>
            </w:r>
          </w:p>
        </w:tc>
      </w:tr>
      <w:tr w:rsidR="00330E82" w:rsidRPr="00E45CC1">
        <w:tc>
          <w:tcPr>
            <w:tcW w:w="6576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2494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0,1 + 37,8/S</w:t>
            </w:r>
          </w:p>
        </w:tc>
      </w:tr>
    </w:tbl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6.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.3 - фактор, учитывающий право, на основании которого налогоплательщик использует места организации розничной торговли при осуществлении видов предпринимательской деятельности, указанных в </w:t>
      </w:r>
      <w:hyperlink w:anchor="P2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7а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3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7б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на праве аренды - 0,9;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на праве собственности и ином вещном праве - 1.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7.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.4 - фактор, учитывающий категорию налогоплательщиков и (или) лиц, которым оказываются соответствующие услуги, применяется при осуществлении видов предпринимательской деятельности, указанных в </w:t>
      </w:r>
      <w:hyperlink w:anchor="P1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4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5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40"/>
      </w:tblGrid>
      <w:tr w:rsidR="00330E82" w:rsidRPr="00E45CC1">
        <w:tc>
          <w:tcPr>
            <w:tcW w:w="759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1440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.4</w:t>
            </w:r>
          </w:p>
        </w:tc>
      </w:tr>
      <w:tr w:rsidR="00330E82" w:rsidRPr="00E45CC1">
        <w:tc>
          <w:tcPr>
            <w:tcW w:w="759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144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0,20</w:t>
            </w:r>
          </w:p>
        </w:tc>
      </w:tr>
      <w:tr w:rsidR="00330E82" w:rsidRPr="00E45CC1">
        <w:tc>
          <w:tcPr>
            <w:tcW w:w="759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</w:t>
            </w: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44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0,60</w:t>
            </w:r>
          </w:p>
        </w:tc>
      </w:tr>
      <w:tr w:rsidR="00330E82" w:rsidRPr="00E45CC1">
        <w:tc>
          <w:tcPr>
            <w:tcW w:w="759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Оказание бытовых услуг индивидуальными предпринимателями, являющимися инвалидами I и II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144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330E82" w:rsidRPr="00E45CC1">
        <w:tc>
          <w:tcPr>
            <w:tcW w:w="7597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или автотранспортных услуг по перевозке пассажиров и грузов иными категориями налогоплательщиков и (или) другим категориям лиц</w:t>
            </w:r>
          </w:p>
        </w:tc>
        <w:tc>
          <w:tcPr>
            <w:tcW w:w="1440" w:type="dxa"/>
            <w:vAlign w:val="center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</w:tbl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4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129)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8.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.5 - фактор, учитывающий среднемесячный размер начисленной заработной платы в расчете на 1 работника (за исключением индивидуального предпринимателя) за налоговый период, применяется для всех видов предпринимательской деятельности, указанных в </w:t>
      </w:r>
      <w:hyperlink w:anchor="P16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заработная плата ниже 7500 рублей - 1;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заработная плата равная или выше 7500 рублей - 0,95.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(п. 8 в ред. </w:t>
      </w:r>
      <w:hyperlink r:id="rId41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18.05.2017 N 129)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3" w:name="P247"/>
      <w:bookmarkEnd w:id="23"/>
      <w:r w:rsidRPr="00E45CC1">
        <w:rPr>
          <w:rFonts w:ascii="Times New Roman" w:hAnsi="Times New Roman" w:cs="Times New Roman"/>
          <w:b w:val="0"/>
          <w:sz w:val="24"/>
          <w:szCs w:val="24"/>
        </w:rPr>
        <w:t>9.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.6 - фактор, учитывающий место осуществления видов предпринимательской деятельности, указанных в </w:t>
      </w:r>
      <w:hyperlink w:anchor="P1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2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34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0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44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Решения;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195"/>
        <w:gridCol w:w="2041"/>
      </w:tblGrid>
      <w:tr w:rsidR="00330E82" w:rsidRPr="00E45CC1">
        <w:tc>
          <w:tcPr>
            <w:tcW w:w="283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городских и сельских поселений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зоны и улиц (населенных пунктов), входящих в зону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 К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.6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Лебяжьевский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зона 1: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р.п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. Лебяжье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зона 2: 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/я 6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0,21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3: д. В.-</w:t>
            </w:r>
            <w:proofErr w:type="gram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Глубокое</w:t>
            </w:r>
            <w:proofErr w:type="gram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зона 4: ст.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Кравцево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, территория зверофермы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Арлагульский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Арлагуль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Новощетниково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Старощетниково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Б. Моховое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Баксарский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Центральное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Балакульский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Балакуль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Урожайное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Дубровинский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Дубровное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Бочаговка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Елошанский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Елошное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Фрунзе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Камышинский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Камышное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Кукушкино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0,02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Калашинский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Калашное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Александровка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Лисьевский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Лисье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Островное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0,16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Баксары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Лопатинский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Лопатки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Песьяное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Худяково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Менщиковский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Менщиково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Суерская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Кузнецово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Н.-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Головинский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Головное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Баксары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Налимовский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Светлое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Плосковский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Плоское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Слободчики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Белянино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Копайское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Прилогинский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Прилогино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Юдино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Красная Горка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Речновский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Речное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Желтики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Кузинка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Черемушкинский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Черемушки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Черешково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Чаешное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  <w:tr w:rsidR="00330E82" w:rsidRPr="00E45CC1">
        <w:tc>
          <w:tcPr>
            <w:tcW w:w="283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Хуторской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Хутора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 w:val="restart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П.-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Лебяжьевский</w:t>
            </w:r>
            <w:proofErr w:type="spellEnd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Лебяжье-1</w:t>
            </w:r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330E82" w:rsidRPr="00E45CC1">
        <w:tc>
          <w:tcPr>
            <w:tcW w:w="2835" w:type="dxa"/>
            <w:vMerge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195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Нижнеглубокое</w:t>
            </w:r>
            <w:proofErr w:type="spellEnd"/>
          </w:p>
        </w:tc>
        <w:tc>
          <w:tcPr>
            <w:tcW w:w="2041" w:type="dxa"/>
          </w:tcPr>
          <w:p w:rsidR="00330E82" w:rsidRPr="00E45CC1" w:rsidRDefault="00330E82" w:rsidP="00E45C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CC1">
              <w:rPr>
                <w:rFonts w:ascii="Times New Roman" w:hAnsi="Times New Roman" w:cs="Times New Roman"/>
                <w:b w:val="0"/>
                <w:sz w:val="24"/>
                <w:szCs w:val="24"/>
              </w:rPr>
              <w:t>0,015</w:t>
            </w:r>
          </w:p>
        </w:tc>
      </w:tr>
    </w:tbl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(п. 9 в ред. </w:t>
      </w:r>
      <w:hyperlink r:id="rId42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Лебяжьевской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19.04.2012 N 226)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10.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.7 - фактор, учитывающий иные особенности предпринимательской деятельности на территории </w:t>
      </w:r>
      <w:proofErr w:type="spellStart"/>
      <w:r w:rsidRPr="00E45CC1">
        <w:rPr>
          <w:rFonts w:ascii="Times New Roman" w:hAnsi="Times New Roman" w:cs="Times New Roman"/>
          <w:b w:val="0"/>
          <w:sz w:val="24"/>
          <w:szCs w:val="24"/>
        </w:rPr>
        <w:t>Лебяжьевского</w:t>
      </w:r>
      <w:proofErr w:type="spell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района, а именно режим работы, применяется для видов деятельности, указанных в </w:t>
      </w:r>
      <w:hyperlink w:anchor="P29" w:history="1">
        <w:r w:rsidRPr="00E45CC1">
          <w:rPr>
            <w:rFonts w:ascii="Times New Roman" w:hAnsi="Times New Roman" w:cs="Times New Roman"/>
            <w:b w:val="0"/>
            <w:sz w:val="24"/>
            <w:szCs w:val="24"/>
          </w:rPr>
          <w:t>подпункте 7а пункта 2</w:t>
        </w:r>
      </w:hyperlink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- осуществление деятельности с выходными днями - 0,8;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- осуществление деятельности без выходных дней - 1.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5CC1">
        <w:rPr>
          <w:rFonts w:ascii="Times New Roman" w:hAnsi="Times New Roman" w:cs="Times New Roman"/>
          <w:b w:val="0"/>
          <w:sz w:val="24"/>
          <w:szCs w:val="24"/>
        </w:rPr>
        <w:t>11. Расчет коэффициента К</w:t>
      </w:r>
      <w:proofErr w:type="gramStart"/>
      <w:r w:rsidRPr="00E45CC1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E45CC1">
        <w:rPr>
          <w:rFonts w:ascii="Times New Roman" w:hAnsi="Times New Roman" w:cs="Times New Roman"/>
          <w:b w:val="0"/>
          <w:sz w:val="24"/>
          <w:szCs w:val="24"/>
        </w:rPr>
        <w:t xml:space="preserve"> и значений факторов произвольной формы, документы, подтверждающие величину физического показателя и правильность определения (расчета) коэффициента К2 и значений факторов, представляются налогоплательщиками в налоговые органы не позднее 20 числа первого месяца, следующего за налоговым периодом (одновременно с соответствующей налоговой декларацией).</w:t>
      </w: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E82" w:rsidRPr="00E45CC1" w:rsidRDefault="00330E82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F5AB8" w:rsidRPr="00E45CC1" w:rsidRDefault="007F5AB8" w:rsidP="00E45C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7F5AB8" w:rsidRPr="00E45CC1" w:rsidSect="00D8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82"/>
    <w:rsid w:val="000A509B"/>
    <w:rsid w:val="00330E82"/>
    <w:rsid w:val="00744730"/>
    <w:rsid w:val="007F5AB8"/>
    <w:rsid w:val="009940C0"/>
    <w:rsid w:val="00CE7B92"/>
    <w:rsid w:val="00E4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2D7E2787723AEA06330D46532A78FADEBA47D1ACC1AC34FF79EA10F1024CB08677D9CED1266C54CF2FF1B2B611406ADFDA725489FC5CDEDCC377XAt0G" TargetMode="External"/><Relationship Id="rId13" Type="http://schemas.openxmlformats.org/officeDocument/2006/relationships/hyperlink" Target="consultantplus://offline/ref=B12D7E2787723AEA06330D46532A78FADEBA47D1AAC0AB3FF379EA10F1024CB08677D9CED1266C54CF2FF1B1B611406ADFDA725489FC5CDEDCC377XAt0G" TargetMode="External"/><Relationship Id="rId18" Type="http://schemas.openxmlformats.org/officeDocument/2006/relationships/hyperlink" Target="consultantplus://offline/ref=B12D7E2787723AEA06330D46532A78FADEBA47D1ACC1AB3BF279EA10F1024CB08677D9CED1266C54CF2FF1BEB611406ADFDA725489FC5CDEDCC377XAt0G" TargetMode="External"/><Relationship Id="rId26" Type="http://schemas.openxmlformats.org/officeDocument/2006/relationships/hyperlink" Target="consultantplus://offline/ref=B12D7E2787723AEA0633134B454624F0DCB21EDBA8C2A76BAA26B14DA60B46E7C138808E942A66009E6BA4BABD460F2E83C9705796XFt5G" TargetMode="External"/><Relationship Id="rId39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2D7E2787723AEA06330D46532A78FADEBA47D1ACC1AB3BF279EA10F1024CB08677D9CED1266C54CF2FF2BEB611406ADFDA725489FC5CDEDCC377XAt0G" TargetMode="External"/><Relationship Id="rId34" Type="http://schemas.openxmlformats.org/officeDocument/2006/relationships/image" Target="media/image4.wmf"/><Relationship Id="rId42" Type="http://schemas.openxmlformats.org/officeDocument/2006/relationships/hyperlink" Target="consultantplus://offline/ref=B12D7E2787723AEA06330D46532A78FADEBA47D1AAC0AB3FF479EA10F1024CB08677D9CED1266C54CF2FF0B7B611406ADFDA725489FC5CDEDCC377XAt0G" TargetMode="External"/><Relationship Id="rId7" Type="http://schemas.openxmlformats.org/officeDocument/2006/relationships/hyperlink" Target="consultantplus://offline/ref=B12D7E2787723AEA06330D46532A78FADEBA47D1AAC0AB3FF379EA10F1024CB08677D9CED1266C54CF2FF1B2B611406ADFDA725489FC5CDEDCC377XAt0G" TargetMode="External"/><Relationship Id="rId12" Type="http://schemas.openxmlformats.org/officeDocument/2006/relationships/hyperlink" Target="consultantplus://offline/ref=B12D7E2787723AEA06330D46532A78FADEBA47D1ACC1AC34FF79EA10F1024CB08677D9CED1266C54CF2FF1B1B611406ADFDA725489FC5CDEDCC377XAt0G" TargetMode="External"/><Relationship Id="rId17" Type="http://schemas.openxmlformats.org/officeDocument/2006/relationships/hyperlink" Target="consultantplus://offline/ref=B12D7E2787723AEA06330D46532A78FADEBA47D1ACC1AB3BF279EA10F1024CB08677D9CED1266C54CF2FF1BFB611406ADFDA725489FC5CDEDCC377XAt0G" TargetMode="External"/><Relationship Id="rId25" Type="http://schemas.openxmlformats.org/officeDocument/2006/relationships/hyperlink" Target="consultantplus://offline/ref=B12D7E2787723AEA0633134B454624F0DCB21EDBA8C2A76BAA26B14DA60B46E7C138808C952B6C56CF24A5E6F9101C2E89C9725E89FE55C1XDt7G" TargetMode="External"/><Relationship Id="rId33" Type="http://schemas.openxmlformats.org/officeDocument/2006/relationships/image" Target="media/image3.wmf"/><Relationship Id="rId38" Type="http://schemas.openxmlformats.org/officeDocument/2006/relationships/hyperlink" Target="consultantplus://offline/ref=B12D7E2787723AEA06330D46532A78FADEBA47D1ACC1AB3BF279EA10F1024CB08677D9CED1266C54CF2EF1B5B611406ADFDA725489FC5CDEDCC377XAt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2D7E2787723AEA06330D46532A78FADEBA47D1ACC1AB3BF279EA10F1024CB08677D9CED1266C54CF2FF1B0B611406ADFDA725489FC5CDEDCC377XAt0G" TargetMode="External"/><Relationship Id="rId20" Type="http://schemas.openxmlformats.org/officeDocument/2006/relationships/hyperlink" Target="consultantplus://offline/ref=B12D7E2787723AEA06330D46532A78FADEBA47D1ACC1AB3BF279EA10F1024CB08677D9CED1266C54CF2FF2BFB611406ADFDA725489FC5CDEDCC377XAt0G" TargetMode="External"/><Relationship Id="rId29" Type="http://schemas.openxmlformats.org/officeDocument/2006/relationships/hyperlink" Target="consultantplus://offline/ref=B12D7E2787723AEA06330D46532A78FADEBA47D1ACC1AB3BF279EA10F1024CB08677D9CED1266C54CF2FF7B0B611406ADFDA725489FC5CDEDCC377XAt0G" TargetMode="External"/><Relationship Id="rId41" Type="http://schemas.openxmlformats.org/officeDocument/2006/relationships/hyperlink" Target="consultantplus://offline/ref=B12D7E2787723AEA06330D46532A78FADEBA47D1ACC1AB3BF279EA10F1024CB08677D9CED1266C54CF2EF0B1B611406ADFDA725489FC5CDEDCC377XAt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2D7E2787723AEA06330D46532A78FADEBA47D1AAC0AB3FF479EA10F1024CB08677D9CED1266C54CF2FF1B2B611406ADFDA725489FC5CDEDCC377XAt0G" TargetMode="External"/><Relationship Id="rId11" Type="http://schemas.openxmlformats.org/officeDocument/2006/relationships/hyperlink" Target="consultantplus://offline/ref=B12D7E2787723AEA0633134B454624F0DEB31BDFABC7A76BAA26B14DA60B46E7C138808C952E6553CE24A5E6F9101C2E89C9725E89FE55C1XDt7G" TargetMode="External"/><Relationship Id="rId24" Type="http://schemas.openxmlformats.org/officeDocument/2006/relationships/hyperlink" Target="consultantplus://offline/ref=B12D7E2787723AEA0633134B454624F0DCB21EDBA8C2A76BAA26B14DA60B46E7C138808C952B6C55C624A5E6F9101C2E89C9725E89FE55C1XDt7G" TargetMode="External"/><Relationship Id="rId32" Type="http://schemas.openxmlformats.org/officeDocument/2006/relationships/image" Target="media/image2.wmf"/><Relationship Id="rId37" Type="http://schemas.openxmlformats.org/officeDocument/2006/relationships/hyperlink" Target="consultantplus://offline/ref=B12D7E2787723AEA06330D46532A78FADEBA47D1AAC0AB3FF379EA10F1024CB08677D9CED1266C54CF2FF0B7B611406ADFDA725489FC5CDEDCC377XAt0G" TargetMode="External"/><Relationship Id="rId40" Type="http://schemas.openxmlformats.org/officeDocument/2006/relationships/hyperlink" Target="consultantplus://offline/ref=B12D7E2787723AEA06330D46532A78FADEBA47D1ACC1AB3BF279EA10F1024CB08677D9CED1266C54CF2EF1B4B611406ADFDA725489FC5CDEDCC377XAt0G" TargetMode="External"/><Relationship Id="rId5" Type="http://schemas.openxmlformats.org/officeDocument/2006/relationships/hyperlink" Target="consultantplus://offline/ref=B12D7E2787723AEA06330D46532A78FADEBA47D1A9C3A53BF779EA10F1024CB08677D9CED1266C54CF2FF1B2B611406ADFDA725489FC5CDEDCC377XAt0G" TargetMode="External"/><Relationship Id="rId15" Type="http://schemas.openxmlformats.org/officeDocument/2006/relationships/hyperlink" Target="consultantplus://offline/ref=B12D7E2787723AEA06330D46532A78FADEBA47D1AAC0AB3FF379EA10F1024CB08677D9CED1266C54CF2FF1B0B611406ADFDA725489FC5CDEDCC377XAt0G" TargetMode="External"/><Relationship Id="rId23" Type="http://schemas.openxmlformats.org/officeDocument/2006/relationships/hyperlink" Target="consultantplus://offline/ref=B12D7E2787723AEA0633134B454624F0DCB21EDBA8C2A76BAA26B14DA60B46E7C138808C952B6C55C724A5E6F9101C2E89C9725E89FE55C1XDt7G" TargetMode="External"/><Relationship Id="rId28" Type="http://schemas.openxmlformats.org/officeDocument/2006/relationships/hyperlink" Target="consultantplus://offline/ref=B12D7E2787723AEA0633134B454624F0DCB21EDBA8C2A76BAA26B14DA60B46E7C138808C952B6C56CA24A5E6F9101C2E89C9725E89FE55C1XDt7G" TargetMode="External"/><Relationship Id="rId36" Type="http://schemas.openxmlformats.org/officeDocument/2006/relationships/image" Target="media/image6.wmf"/><Relationship Id="rId10" Type="http://schemas.openxmlformats.org/officeDocument/2006/relationships/hyperlink" Target="consultantplus://offline/ref=B12D7E2787723AEA0633134B454624F0DEB31BDFABC7A76BAA26B14DA60B46E7D338D88095287354C631F3B7BCX4tCG" TargetMode="External"/><Relationship Id="rId19" Type="http://schemas.openxmlformats.org/officeDocument/2006/relationships/hyperlink" Target="consultantplus://offline/ref=B12D7E2787723AEA06330D46532A78FADEBA47D1AAC0AB3FF379EA10F1024CB08677D9CED1266C54CF2FF1BEB611406ADFDA725489FC5CDEDCC377XAt0G" TargetMode="External"/><Relationship Id="rId31" Type="http://schemas.openxmlformats.org/officeDocument/2006/relationships/image" Target="media/image1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2D7E2787723AEA06330D46532A78FADEBA47D1ACC1AB3BF279EA10F1024CB08677D9CED1266C54CF2FF1B2B611406ADFDA725489FC5CDEDCC377XAt0G" TargetMode="External"/><Relationship Id="rId14" Type="http://schemas.openxmlformats.org/officeDocument/2006/relationships/hyperlink" Target="consultantplus://offline/ref=B12D7E2787723AEA06330D46532A78FADEBA47D1ACC1AB3BF279EA10F1024CB08677D9CED1266C54CF2FF1B1B611406ADFDA725489FC5CDEDCC377XAt0G" TargetMode="External"/><Relationship Id="rId22" Type="http://schemas.openxmlformats.org/officeDocument/2006/relationships/hyperlink" Target="consultantplus://offline/ref=B12D7E2787723AEA06330D46532A78FADEBA47D1ACC1AB3BF279EA10F1024CB08677D9CED1266C54CF2FF5B7B611406ADFDA725489FC5CDEDCC377XAt0G" TargetMode="External"/><Relationship Id="rId27" Type="http://schemas.openxmlformats.org/officeDocument/2006/relationships/hyperlink" Target="consultantplus://offline/ref=B12D7E2787723AEA0633134B454624F0DCB21EDBA8C2A76BAA26B14DA60B46E7C138808C952B6C56CB24A5E6F9101C2E89C9725E89FE55C1XDt7G" TargetMode="External"/><Relationship Id="rId30" Type="http://schemas.openxmlformats.org/officeDocument/2006/relationships/hyperlink" Target="consultantplus://offline/ref=B12D7E2787723AEA06330D46532A78FADEBA47D1ACC1AB3BF279EA10F1024CB08677D9CED1266C54CF2FF9B6B611406ADFDA725489FC5CDEDCC377XAt0G" TargetMode="External"/><Relationship Id="rId35" Type="http://schemas.openxmlformats.org/officeDocument/2006/relationships/image" Target="media/image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4386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INET_1315</cp:lastModifiedBy>
  <cp:revision>8</cp:revision>
  <dcterms:created xsi:type="dcterms:W3CDTF">2019-09-03T06:45:00Z</dcterms:created>
  <dcterms:modified xsi:type="dcterms:W3CDTF">2019-09-03T06:25:00Z</dcterms:modified>
</cp:coreProperties>
</file>