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48" w:rsidRPr="00591487" w:rsidRDefault="005914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М</w:t>
      </w:r>
      <w:r w:rsidRPr="00591487">
        <w:rPr>
          <w:rFonts w:ascii="Times New Roman" w:hAnsi="Times New Roman" w:cs="Times New Roman"/>
          <w:b w:val="0"/>
          <w:sz w:val="24"/>
          <w:szCs w:val="24"/>
        </w:rPr>
        <w:t>ишкинская</w:t>
      </w:r>
      <w:proofErr w:type="spellEnd"/>
      <w:r w:rsidRPr="00591487">
        <w:rPr>
          <w:rFonts w:ascii="Times New Roman" w:hAnsi="Times New Roman" w:cs="Times New Roman"/>
          <w:b w:val="0"/>
          <w:sz w:val="24"/>
          <w:szCs w:val="24"/>
        </w:rPr>
        <w:t xml:space="preserve"> районная </w:t>
      </w:r>
      <w:r>
        <w:rPr>
          <w:rFonts w:ascii="Times New Roman" w:hAnsi="Times New Roman" w:cs="Times New Roman"/>
          <w:b w:val="0"/>
          <w:sz w:val="24"/>
          <w:szCs w:val="24"/>
        </w:rPr>
        <w:t>Д</w:t>
      </w:r>
      <w:r w:rsidRPr="00591487">
        <w:rPr>
          <w:rFonts w:ascii="Times New Roman" w:hAnsi="Times New Roman" w:cs="Times New Roman"/>
          <w:b w:val="0"/>
          <w:sz w:val="24"/>
          <w:szCs w:val="24"/>
        </w:rPr>
        <w:t>ума</w:t>
      </w:r>
    </w:p>
    <w:p w:rsidR="007C1A48" w:rsidRPr="00591487" w:rsidRDefault="005914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91487">
        <w:rPr>
          <w:rFonts w:ascii="Times New Roman" w:hAnsi="Times New Roman" w:cs="Times New Roman"/>
          <w:b w:val="0"/>
          <w:sz w:val="24"/>
          <w:szCs w:val="24"/>
        </w:rPr>
        <w:t>урганской области</w:t>
      </w:r>
    </w:p>
    <w:p w:rsidR="007C1A48" w:rsidRPr="00591487" w:rsidRDefault="005914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Pr="00591487">
        <w:rPr>
          <w:rFonts w:ascii="Times New Roman" w:hAnsi="Times New Roman" w:cs="Times New Roman"/>
          <w:b w:val="0"/>
          <w:sz w:val="24"/>
          <w:szCs w:val="24"/>
        </w:rPr>
        <w:t>ешение</w:t>
      </w:r>
    </w:p>
    <w:p w:rsidR="007C1A48" w:rsidRPr="00591487" w:rsidRDefault="005914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91487">
        <w:rPr>
          <w:rFonts w:ascii="Times New Roman" w:hAnsi="Times New Roman" w:cs="Times New Roman"/>
          <w:b w:val="0"/>
          <w:sz w:val="24"/>
          <w:szCs w:val="24"/>
        </w:rPr>
        <w:t xml:space="preserve">от 29 октября 2007 г.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Pr="00591487">
        <w:rPr>
          <w:rFonts w:ascii="Times New Roman" w:hAnsi="Times New Roman" w:cs="Times New Roman"/>
          <w:b w:val="0"/>
          <w:sz w:val="24"/>
          <w:szCs w:val="24"/>
        </w:rPr>
        <w:t>337</w:t>
      </w:r>
    </w:p>
    <w:p w:rsidR="007C1A48" w:rsidRPr="00591487" w:rsidRDefault="005914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91487">
        <w:rPr>
          <w:rFonts w:ascii="Times New Roman" w:hAnsi="Times New Roman" w:cs="Times New Roman"/>
          <w:b w:val="0"/>
          <w:sz w:val="24"/>
          <w:szCs w:val="24"/>
        </w:rPr>
        <w:t>о введении системы</w:t>
      </w:r>
    </w:p>
    <w:p w:rsidR="007C1A48" w:rsidRPr="00591487" w:rsidRDefault="005914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91487">
        <w:rPr>
          <w:rFonts w:ascii="Times New Roman" w:hAnsi="Times New Roman" w:cs="Times New Roman"/>
          <w:b w:val="0"/>
          <w:sz w:val="24"/>
          <w:szCs w:val="24"/>
        </w:rPr>
        <w:t>налогообложения в виде единого</w:t>
      </w:r>
    </w:p>
    <w:p w:rsidR="007C1A48" w:rsidRPr="00591487" w:rsidRDefault="005914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91487">
        <w:rPr>
          <w:rFonts w:ascii="Times New Roman" w:hAnsi="Times New Roman" w:cs="Times New Roman"/>
          <w:b w:val="0"/>
          <w:sz w:val="24"/>
          <w:szCs w:val="24"/>
        </w:rPr>
        <w:t xml:space="preserve">налога на вмененный доход </w:t>
      </w:r>
      <w:proofErr w:type="gramStart"/>
      <w:r w:rsidRPr="00591487">
        <w:rPr>
          <w:rFonts w:ascii="Times New Roman" w:hAnsi="Times New Roman" w:cs="Times New Roman"/>
          <w:b w:val="0"/>
          <w:sz w:val="24"/>
          <w:szCs w:val="24"/>
        </w:rPr>
        <w:t>для</w:t>
      </w:r>
      <w:proofErr w:type="gramEnd"/>
    </w:p>
    <w:p w:rsidR="007C1A48" w:rsidRPr="00591487" w:rsidRDefault="0059148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91487">
        <w:rPr>
          <w:rFonts w:ascii="Times New Roman" w:hAnsi="Times New Roman" w:cs="Times New Roman"/>
          <w:b w:val="0"/>
          <w:sz w:val="24"/>
          <w:szCs w:val="24"/>
        </w:rPr>
        <w:t>отдельных видов деятельности</w:t>
      </w:r>
    </w:p>
    <w:p w:rsidR="007C1A48" w:rsidRDefault="007C1A4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C1A48" w:rsidRPr="008C41B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C1A48" w:rsidRPr="008C41BB" w:rsidRDefault="007C1A48" w:rsidP="008C41B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Список изменяющих документов</w:t>
            </w:r>
          </w:p>
          <w:p w:rsidR="007C1A48" w:rsidRPr="008C41BB" w:rsidRDefault="007C1A48" w:rsidP="008C41B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Решений </w:t>
            </w:r>
            <w:proofErr w:type="spell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Мишкинской</w:t>
            </w:r>
            <w:proofErr w:type="spell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</w:t>
            </w:r>
            <w:proofErr w:type="gramEnd"/>
          </w:p>
          <w:p w:rsidR="007C1A48" w:rsidRPr="008C41BB" w:rsidRDefault="007C1A48" w:rsidP="008C41B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16.12.2008 </w:t>
            </w:r>
            <w:hyperlink r:id="rId5" w:history="1">
              <w:r w:rsidR="00394B82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8C41B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467</w:t>
              </w:r>
            </w:hyperlink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24.02.2009 </w:t>
            </w:r>
            <w:hyperlink r:id="rId6" w:history="1">
              <w:r w:rsidR="00394B82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8C41B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492</w:t>
              </w:r>
            </w:hyperlink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27.02.2010 </w:t>
            </w:r>
            <w:hyperlink r:id="rId7" w:history="1">
              <w:r w:rsidR="00394B82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8C41B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579</w:t>
              </w:r>
            </w:hyperlink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7C1A48" w:rsidRPr="008C41BB" w:rsidRDefault="007C1A48" w:rsidP="00394B8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24.11.2010 </w:t>
            </w:r>
            <w:hyperlink r:id="rId8" w:history="1">
              <w:r w:rsidR="00394B82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8C41B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69</w:t>
              </w:r>
            </w:hyperlink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28.09.2012 </w:t>
            </w:r>
            <w:hyperlink r:id="rId9" w:history="1">
              <w:r w:rsidR="00394B82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8C41B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260</w:t>
              </w:r>
            </w:hyperlink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от 12.05.2017 </w:t>
            </w:r>
            <w:hyperlink r:id="rId10" w:history="1">
              <w:r w:rsidR="00394B82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№</w:t>
              </w:r>
              <w:r w:rsidRPr="008C41B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193</w:t>
              </w:r>
            </w:hyperlink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</w:tbl>
    <w:p w:rsidR="007C1A48" w:rsidRPr="008C41BB" w:rsidRDefault="007C1A48" w:rsidP="008C41B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частью 2 </w:t>
      </w:r>
      <w:hyperlink r:id="rId11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главы 26.3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и ст. 21 Устава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Мишкинского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района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Мишкинская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районная Дума решила: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1. Ввести на территории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Мишкинского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района систему налогообложения в виде единого налога на вмененный доход для отдельных видов деятельности (единый налог).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P19"/>
      <w:bookmarkEnd w:id="0"/>
      <w:r w:rsidRPr="008C41BB">
        <w:rPr>
          <w:rFonts w:ascii="Times New Roman" w:hAnsi="Times New Roman" w:cs="Times New Roman"/>
          <w:b w:val="0"/>
          <w:sz w:val="24"/>
          <w:szCs w:val="24"/>
        </w:rPr>
        <w:t>2. Установить, что единый налог вводится в отношении следующих видов предпринимательской деятельности: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P20"/>
      <w:bookmarkEnd w:id="1"/>
      <w:r w:rsidRPr="008C41BB">
        <w:rPr>
          <w:rFonts w:ascii="Times New Roman" w:hAnsi="Times New Roman" w:cs="Times New Roman"/>
          <w:b w:val="0"/>
          <w:sz w:val="24"/>
          <w:szCs w:val="24"/>
        </w:rPr>
        <w:t>1) оказания бытовых услуг;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P21"/>
      <w:bookmarkEnd w:id="2"/>
      <w:r w:rsidRPr="008C41BB">
        <w:rPr>
          <w:rFonts w:ascii="Times New Roman" w:hAnsi="Times New Roman" w:cs="Times New Roman"/>
          <w:b w:val="0"/>
          <w:sz w:val="24"/>
          <w:szCs w:val="24"/>
        </w:rPr>
        <w:t>2) оказания услуг по ремонту, техническому обслуживанию и мойке автомототранспортных средств;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2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Мишкинской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28.09.2012 N 260)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P23"/>
      <w:bookmarkEnd w:id="3"/>
      <w:r w:rsidRPr="008C41BB">
        <w:rPr>
          <w:rFonts w:ascii="Times New Roman" w:hAnsi="Times New Roman" w:cs="Times New Roman"/>
          <w:b w:val="0"/>
          <w:sz w:val="24"/>
          <w:szCs w:val="24"/>
        </w:rPr>
        <w:t>3) 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(в ред. Решений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Мишкинской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16.12.2008 </w:t>
      </w:r>
      <w:hyperlink r:id="rId13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N 467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от 28.09.2012 </w:t>
      </w:r>
      <w:hyperlink r:id="rId14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N 260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25"/>
      <w:bookmarkEnd w:id="4"/>
      <w:r w:rsidRPr="008C41BB">
        <w:rPr>
          <w:rFonts w:ascii="Times New Roman" w:hAnsi="Times New Roman" w:cs="Times New Roman"/>
          <w:b w:val="0"/>
          <w:sz w:val="24"/>
          <w:szCs w:val="24"/>
        </w:rPr>
        <w:t>4)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5" w:name="P26"/>
      <w:bookmarkEnd w:id="5"/>
      <w:r w:rsidRPr="008C41BB">
        <w:rPr>
          <w:rFonts w:ascii="Times New Roman" w:hAnsi="Times New Roman" w:cs="Times New Roman"/>
          <w:b w:val="0"/>
          <w:sz w:val="24"/>
          <w:szCs w:val="24"/>
        </w:rPr>
        <w:t>5)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P27"/>
      <w:bookmarkEnd w:id="6"/>
      <w:r w:rsidRPr="008C41BB">
        <w:rPr>
          <w:rFonts w:ascii="Times New Roman" w:hAnsi="Times New Roman" w:cs="Times New Roman"/>
          <w:b w:val="0"/>
          <w:sz w:val="24"/>
          <w:szCs w:val="24"/>
        </w:rPr>
        <w:t>6)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сети, в том числе: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7" w:name="P28"/>
      <w:bookmarkEnd w:id="7"/>
      <w:r w:rsidRPr="008C41BB">
        <w:rPr>
          <w:rFonts w:ascii="Times New Roman" w:hAnsi="Times New Roman" w:cs="Times New Roman"/>
          <w:b w:val="0"/>
          <w:sz w:val="24"/>
          <w:szCs w:val="24"/>
        </w:rPr>
        <w:t>6.1) розничной торговли, осуществляемой через объекты стационарной торговой сети, не имеющие торговых залов, и розничной торговли, осуществляемой через объекты нестационарной торговой сети;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8" w:name="P29"/>
      <w:bookmarkEnd w:id="8"/>
      <w:r w:rsidRPr="008C41BB">
        <w:rPr>
          <w:rFonts w:ascii="Times New Roman" w:hAnsi="Times New Roman" w:cs="Times New Roman"/>
          <w:b w:val="0"/>
          <w:sz w:val="24"/>
          <w:szCs w:val="24"/>
        </w:rPr>
        <w:t>6.2)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9" w:name="P30"/>
      <w:bookmarkEnd w:id="9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7) оказания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</w:t>
      </w:r>
      <w:r w:rsidRPr="008C41BB">
        <w:rPr>
          <w:rFonts w:ascii="Times New Roman" w:hAnsi="Times New Roman" w:cs="Times New Roman"/>
          <w:b w:val="0"/>
          <w:sz w:val="24"/>
          <w:szCs w:val="24"/>
        </w:rPr>
        <w:lastRenderedPageBreak/>
        <w:t>организации общественного питания;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0" w:name="P31"/>
      <w:bookmarkEnd w:id="10"/>
      <w:r w:rsidRPr="008C41BB">
        <w:rPr>
          <w:rFonts w:ascii="Times New Roman" w:hAnsi="Times New Roman" w:cs="Times New Roman"/>
          <w:b w:val="0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1" w:name="P32"/>
      <w:bookmarkEnd w:id="11"/>
      <w:r w:rsidRPr="008C41BB">
        <w:rPr>
          <w:rFonts w:ascii="Times New Roman" w:hAnsi="Times New Roman" w:cs="Times New Roman"/>
          <w:b w:val="0"/>
          <w:sz w:val="24"/>
          <w:szCs w:val="24"/>
        </w:rPr>
        <w:t>9) распространение наружной рекламы с использованием рекламных конструкций;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. 9 в ред. </w:t>
      </w:r>
      <w:hyperlink r:id="rId15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Мишкинской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16.12.2008 N 467)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2" w:name="P34"/>
      <w:bookmarkEnd w:id="12"/>
      <w:r w:rsidRPr="008C41BB">
        <w:rPr>
          <w:rFonts w:ascii="Times New Roman" w:hAnsi="Times New Roman" w:cs="Times New Roman"/>
          <w:b w:val="0"/>
          <w:sz w:val="24"/>
          <w:szCs w:val="24"/>
        </w:rPr>
        <w:t>10) размещение рекламы с использованием внешних и внутренних поверхностей транспортных средств;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. 10 в ред. </w:t>
      </w:r>
      <w:hyperlink r:id="rId16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Мишкинской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28.09.2012 N 260)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3" w:name="P36"/>
      <w:bookmarkEnd w:id="13"/>
      <w:r w:rsidRPr="008C41BB">
        <w:rPr>
          <w:rFonts w:ascii="Times New Roman" w:hAnsi="Times New Roman" w:cs="Times New Roman"/>
          <w:b w:val="0"/>
          <w:sz w:val="24"/>
          <w:szCs w:val="24"/>
        </w:rPr>
        <w:t>11) оказания ветеринарных услуг;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4" w:name="P37"/>
      <w:bookmarkEnd w:id="14"/>
      <w:r w:rsidRPr="008C41BB">
        <w:rPr>
          <w:rFonts w:ascii="Times New Roman" w:hAnsi="Times New Roman" w:cs="Times New Roman"/>
          <w:b w:val="0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5" w:name="P38"/>
      <w:bookmarkEnd w:id="15"/>
      <w:r w:rsidRPr="008C41BB">
        <w:rPr>
          <w:rFonts w:ascii="Times New Roman" w:hAnsi="Times New Roman" w:cs="Times New Roman"/>
          <w:b w:val="0"/>
          <w:sz w:val="24"/>
          <w:szCs w:val="24"/>
        </w:rPr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залы обслуживания посетителей;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. 13 в ред. </w:t>
      </w:r>
      <w:hyperlink r:id="rId17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Мишкинской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16.12.2008 N 467)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6" w:name="P40"/>
      <w:bookmarkEnd w:id="16"/>
      <w:r w:rsidRPr="008C41BB">
        <w:rPr>
          <w:rFonts w:ascii="Times New Roman" w:hAnsi="Times New Roman" w:cs="Times New Roman"/>
          <w:b w:val="0"/>
          <w:sz w:val="24"/>
          <w:szCs w:val="24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. 14 в ред. </w:t>
      </w:r>
      <w:hyperlink r:id="rId18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Мишкинской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16.12.2008 N 467)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3. Для исчисления суммы единого налога используется корректирующий коэффициент базовой доходности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, учитывающий совокупность особенностей ведения предпринимательской деятельности. Корректирующий коэффициент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как произведения установленных </w:t>
      </w:r>
      <w:hyperlink w:anchor="P43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пунктом 4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 значений факторов. Если для отдельных видов предпринимательской деятельности значения одного или нескольких факторов не определены, то такие коэффициенты в расчете корректирующего коэффициента базовой доходности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не учитываются. Значение корректирующего коэффициента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и значение факторов определяются с точностью до третьего знака после запятой в соответствии с арифметическими правилами округления, которые не могут быть менее 0,005.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7" w:name="P43"/>
      <w:bookmarkEnd w:id="17"/>
      <w:r w:rsidRPr="008C41BB">
        <w:rPr>
          <w:rFonts w:ascii="Times New Roman" w:hAnsi="Times New Roman" w:cs="Times New Roman"/>
          <w:b w:val="0"/>
          <w:sz w:val="24"/>
          <w:szCs w:val="24"/>
        </w:rPr>
        <w:t>4. Установить следующие факторы, используемые для корректирующего коэффициента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, и их значения: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1)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.1 - фактор, учитывающий ассортимент товаров, тип предприятия общественного питания, вид бытовых услуг и другие особенности ведения предпринимательской деятельности, указанных в </w:t>
      </w:r>
      <w:hyperlink w:anchor="P19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п. 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имеет следующие значения: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1.1. При оказании бытовых услуг в населенных пунктах с численностью населения не более 3000 человек значение корректирующего коэффициента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.1 применяется равным 0,5.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Для оказания бытовых услуг в населенных пунктах с численностью населения более 3000 человек значение корректирующего коэффициента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бытовых услуг одного вида (подгруппы), указанных в </w:t>
      </w:r>
      <w:hyperlink w:anchor="P51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корректирующего коэффициента, соответствующее этому виду (подгруппе) услуг;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51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таблицах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корректирующего коэффициента по виду </w:t>
      </w:r>
      <w:r w:rsidRPr="008C41BB">
        <w:rPr>
          <w:rFonts w:ascii="Times New Roman" w:hAnsi="Times New Roman" w:cs="Times New Roman"/>
          <w:b w:val="0"/>
          <w:sz w:val="24"/>
          <w:szCs w:val="24"/>
        </w:rPr>
        <w:lastRenderedPageBreak/>
        <w:t>(подгруппе) услуг, объем которого за налоговый период в общем объеме оказанных услуг составляет более 50 процентов;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51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и объеме каждого вида (подгруппы) услуг за налоговый период в общем объеме оказанных услуг не более 50 процентов применяется корректирующий коэффициент по виду (подгруппе) услуг, по которому предусмотрено наибольшее значение корректирующего коэффициента.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8" w:name="P51"/>
            <w:bookmarkEnd w:id="18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(подгруппа) бытовых услуг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часов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7C1A48" w:rsidRPr="008C41BB">
        <w:tblPrEx>
          <w:tblBorders>
            <w:insideH w:val="nil"/>
          </w:tblBorders>
        </w:tblPrEx>
        <w:tc>
          <w:tcPr>
            <w:tcW w:w="6066" w:type="dxa"/>
            <w:tcBorders>
              <w:bottom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парикмахерских услуг</w:t>
            </w:r>
          </w:p>
        </w:tc>
        <w:tc>
          <w:tcPr>
            <w:tcW w:w="3005" w:type="dxa"/>
            <w:tcBorders>
              <w:bottom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7C1A48" w:rsidRPr="008C41B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</w:t>
            </w:r>
            <w:hyperlink r:id="rId19" w:history="1">
              <w:r w:rsidRPr="008C41B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Решения</w:t>
              </w:r>
            </w:hyperlink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Мишкинской</w:t>
            </w:r>
            <w:proofErr w:type="spell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12.05.2017 N 193)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ремонту обуви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0,55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одежды (в том числе изделий из меха и кожи, головных уборов)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трикотажных изделий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одежды (в том числе изделий из меха и кожи, головных уборов)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вязанию трикотажных изделий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и обслуживанию бытовой техники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очистке обуви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прокату, за исключением проката аудио-, видеокассет, компакт-дисков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ритуальных и обрядовых услуг (свадеб, крещений, панихид, поминаний и др.) в культовых зданиях и сооружениях и на относящихся к ним территориях, иных местах, предоставленных религиозным организациям для этих целей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прачечных, химчисток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изготовлению ключей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фотоателье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виды бытовых услуг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При оказании нескольких видов (подгрупп) бытовых услуг, указанных в </w:t>
      </w:r>
      <w:hyperlink w:anchor="P51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ведется раздельный учет выручки по видам (подгруппам) оказываемых услуг.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lastRenderedPageBreak/>
        <w:t>Налогоплательщики, оказывающие услуги через два отдельно расположенных пункта (места) бытового обслуживания и более, ведут учет отдельно по каждому пункту (месту).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При отсутствии раздельного учета значение корректирующего коэффициента принимается 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1 по каждому из таких пунктов.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1.2. Для видов розничной торговли, указанных в </w:t>
      </w:r>
      <w:hyperlink w:anchor="P26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подпунктах 5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8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6.1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9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6.2 п. 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в населенных пунктах с численностью населения не более 3000 человек корректирующий коэффициент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- розничная торговля без реализации алкогольной продукции и (или) пива - 0,45;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- розничная торговля с реализацией алкогольной продукции и (или) пива - 0,85.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0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Мишкинской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12.05.2017 N 193)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Для розничной торговли в населенных пунктах с численностью населения более 3000 человек значение корректирующего коэффициента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- при торговле алкогольной продукцией и (или) пивом (независимо от объемов их реализации) значение корректирующего коэффициента принимается равным 1,0;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одним видом (группой) товаров, указанным в </w:t>
      </w:r>
      <w:hyperlink w:anchor="P98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корректирующего коэффициента, соответствующее этому виду (группе) товаров;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98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корректирующего коэффициента по виду (группе) товаров, объем 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которого за налоговой период в общем объеме реализации составляет более 50 процентов;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98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и объеме реализации каждого вида (группы) товаров за налоговый период в общем объеме реализации не более 50 процентов применяется значение корректирующего коэффициента по виду (группе) товаров, по которому предусмотрено наибольшее значение корректирующего коэффициента.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9" w:name="P98"/>
            <w:bookmarkEnd w:id="19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(группы) товаров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Детские товары, школьно-письменные принадлежности, школьные учебники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реализуемые через фельдшерско-акушерские аптечные пункты, относящиеся ко второй категории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Садово-огородный инвентарь, удобрения, средства химической защиты растений, семена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Книги, газеты, журналы и прочая печатная продукция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Лекарственные средства и изделия медицинского назначения, за исключением </w:t>
            </w:r>
            <w:proofErr w:type="gram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реализуемых</w:t>
            </w:r>
            <w:proofErr w:type="gram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через фельдшерско-акушерские аптечные пункты, относящиеся ко второй категории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7C1A48" w:rsidRPr="008C41BB">
        <w:tblPrEx>
          <w:tblBorders>
            <w:insideH w:val="nil"/>
          </w:tblBorders>
        </w:tblPrEx>
        <w:tc>
          <w:tcPr>
            <w:tcW w:w="6066" w:type="dxa"/>
            <w:tcBorders>
              <w:bottom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Овощи, фрукты</w:t>
            </w:r>
          </w:p>
        </w:tc>
        <w:tc>
          <w:tcPr>
            <w:tcW w:w="3005" w:type="dxa"/>
            <w:tcBorders>
              <w:bottom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7C1A48" w:rsidRPr="008C41B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</w:t>
            </w:r>
            <w:hyperlink r:id="rId21" w:history="1">
              <w:r w:rsidRPr="008C41B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Решения</w:t>
              </w:r>
            </w:hyperlink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Мишкинской</w:t>
            </w:r>
            <w:proofErr w:type="spell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12.05.2017 N 193)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Швейные (кроме меховых и кожаных изделий) и </w:t>
            </w: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трикотажные изделия, обувь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0,8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Продовольственные товары, реализуемые в общеобразовательных учреждениях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Предметы религиозного культа и религиозная литература, реализуемые в культовых зданиях и сооружениях и на относящихся к ним территориях, в иных местах, предоставленных религиозным организациям для этих целей, в учреждениях и на предприятиях религиозных организаций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Корм для животных, рыб и птиц, кинологические аксессуары и другие товары для содержания и ухода за животными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Продовольственные товары, за исключением алкогольной продукции и (или) пива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товары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При торговле различными видами (группами) товаров, указанными в </w:t>
      </w:r>
      <w:hyperlink w:anchor="P98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ведется раздельный учет выручки по видам (группам) товаров.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Налогоплательщики, осуществляющие розничную торговлю через два объекта стационарной и (или) нестационарной торговой сети (за исключением разносной или развозной торговли) и более, ведут учет отдельно по каждому объекту.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При отсутствии раздельного учета значение корректирующего коэффициента применяется 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1 по каждому из таких объектов розничной торговли.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1.3. Для оказания ветеринарных услуг значение корректирующего коэффициента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.1 принимается равным 0,8.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1.4. Для оказания услуг общественного питания </w:t>
      </w:r>
      <w:hyperlink w:anchor="P30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подпунктов 7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1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8 пункта 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 коэффициент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предприятия общественного питания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не реализующие алкогольную продукцию и (или) пиво: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- столовые, состоящие на балансе организаций и обслуживающие только работников этих организаций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0,33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прочие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0,70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реализующие алкогольную продукцию и (или) пиво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1.5. Для распространения и (или) размещения наружной рекламы, указанного в </w:t>
      </w:r>
      <w:hyperlink w:anchor="P32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подпункте 9.1 пункта 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корректирующий коэффициент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рекламы и рекламной информации и другие особенности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7C1A48" w:rsidRPr="008C41BB">
        <w:tblPrEx>
          <w:tblBorders>
            <w:insideH w:val="nil"/>
          </w:tblBorders>
        </w:tblPrEx>
        <w:tc>
          <w:tcPr>
            <w:tcW w:w="6066" w:type="dxa"/>
            <w:tcBorders>
              <w:bottom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Печатная и (или) полиграфическая реклама:</w:t>
            </w:r>
          </w:p>
        </w:tc>
        <w:tc>
          <w:tcPr>
            <w:tcW w:w="3005" w:type="dxa"/>
            <w:tcBorders>
              <w:bottom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C1A48" w:rsidRPr="008C41BB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реклама</w:t>
            </w:r>
          </w:p>
        </w:tc>
        <w:tc>
          <w:tcPr>
            <w:tcW w:w="3005" w:type="dxa"/>
            <w:tcBorders>
              <w:top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0,005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афиша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политическая реклама с площадью изображения не более 1 кв. м</w:t>
            </w:r>
          </w:p>
        </w:tc>
        <w:tc>
          <w:tcPr>
            <w:tcW w:w="3005" w:type="dxa"/>
            <w:vAlign w:val="bottom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7C1A48" w:rsidRPr="008C41BB">
        <w:tblPrEx>
          <w:tblBorders>
            <w:insideH w:val="nil"/>
          </w:tblBorders>
        </w:tblPrEx>
        <w:tc>
          <w:tcPr>
            <w:tcW w:w="6066" w:type="dxa"/>
            <w:tcBorders>
              <w:bottom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товаров (за исключением алкогольной продукции, пива, табака и (или) табачных изделий):</w:t>
            </w:r>
          </w:p>
        </w:tc>
        <w:tc>
          <w:tcPr>
            <w:tcW w:w="3005" w:type="dxa"/>
            <w:tcBorders>
              <w:bottom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C1A48" w:rsidRPr="008C41BB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bottom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gram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размещаемая</w:t>
            </w:r>
            <w:proofErr w:type="gram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непосредственными товаропроизводителями на щитах и иных стационарных технических средствах;</w:t>
            </w:r>
          </w:p>
        </w:tc>
        <w:tc>
          <w:tcPr>
            <w:tcW w:w="3005" w:type="dxa"/>
            <w:tcBorders>
              <w:top w:val="nil"/>
              <w:bottom w:val="nil"/>
            </w:tcBorders>
            <w:vAlign w:val="bottom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0,050</w:t>
            </w:r>
          </w:p>
        </w:tc>
      </w:tr>
      <w:tr w:rsidR="007C1A48" w:rsidRPr="008C41BB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gram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размещаемая</w:t>
            </w:r>
            <w:proofErr w:type="gram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иными лицами (в том числе рекламными агентами)</w:t>
            </w:r>
          </w:p>
        </w:tc>
        <w:tc>
          <w:tcPr>
            <w:tcW w:w="3005" w:type="dxa"/>
            <w:tcBorders>
              <w:top w:val="nil"/>
            </w:tcBorders>
            <w:vAlign w:val="bottom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0,075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банковских, страховых организаций и организаций связи (за исключением почтовой) и (или) их услуг</w:t>
            </w:r>
          </w:p>
        </w:tc>
        <w:tc>
          <w:tcPr>
            <w:tcW w:w="3005" w:type="dxa"/>
            <w:vAlign w:val="bottom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7C1A48" w:rsidRPr="008C41B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позиция исключена. - </w:t>
            </w:r>
            <w:hyperlink r:id="rId22" w:history="1">
              <w:r w:rsidRPr="008C41B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</w:t>
              </w:r>
            </w:hyperlink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Мишкинской</w:t>
            </w:r>
            <w:proofErr w:type="spell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27.02.2010 N 579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прочая реклама (в том числе смешанная)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0,095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реклама, распространяемая и (или) размещаемая посредством световых и электронных табло</w:t>
            </w:r>
          </w:p>
        </w:tc>
        <w:tc>
          <w:tcPr>
            <w:tcW w:w="3005" w:type="dxa"/>
            <w:vAlign w:val="bottom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</w:tbl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Под смешанной рекламой понимается реклама, размещаемая налогоплательщиком на одном щите или ином стационарном техническом средстве наружной рекламы, содержащем (содержащих) рекламную информацию, в отношении которой установлены различные значения корректирующего коэффициента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.1.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1.6. По видам предпринимательской деятельности, указанным в </w:t>
      </w:r>
      <w:hyperlink w:anchor="P23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подпунктах 3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5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4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(кроме услуг по перевозке пассажиров), </w:t>
      </w:r>
      <w:hyperlink w:anchor="P32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9.2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2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9.3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4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10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7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12 пункта 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корректирующий коэффициент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.1 принимается равным 1.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Для оказания услуг по ремонту, техническому обслуживанию и мойке автотранспортных средств корректирующий коэффициент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.1 принимается равным 0,95.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Для оказания автотранспортных услуг по перевозке пассажиров, осуществляемых организациями и индивидуальными предпринимателями, коэффициент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7C1A48" w:rsidRPr="008C41BB">
        <w:tblPrEx>
          <w:tblBorders>
            <w:insideH w:val="nil"/>
          </w:tblBorders>
        </w:tblPrEx>
        <w:tc>
          <w:tcPr>
            <w:tcW w:w="6066" w:type="dxa"/>
            <w:tcBorders>
              <w:bottom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Автобус (количество посадочных мест более 13)</w:t>
            </w:r>
          </w:p>
        </w:tc>
        <w:tc>
          <w:tcPr>
            <w:tcW w:w="3005" w:type="dxa"/>
            <w:tcBorders>
              <w:bottom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7C1A48" w:rsidRPr="008C41B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</w:t>
            </w:r>
            <w:hyperlink r:id="rId23" w:history="1">
              <w:r w:rsidRPr="008C41B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Решения</w:t>
              </w:r>
            </w:hyperlink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Мишкинской</w:t>
            </w:r>
            <w:proofErr w:type="spell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12.05.2017 N 193)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Если организация или индивидуальный предприниматель использует для оказания автотранспортных услуг по перевозке пассажиров различные типы транспортных средств, </w:t>
      </w:r>
      <w:r w:rsidRPr="008C41BB">
        <w:rPr>
          <w:rFonts w:ascii="Times New Roman" w:hAnsi="Times New Roman" w:cs="Times New Roman"/>
          <w:b w:val="0"/>
          <w:sz w:val="24"/>
          <w:szCs w:val="24"/>
        </w:rPr>
        <w:lastRenderedPageBreak/>
        <w:t>то применяется значение корректирующего коэффициента по типу транспортных средств, количество которых за налоговый период в общем количестве транспортных средств составляет более 50 процентов.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1.7. Для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указанных в </w:t>
      </w:r>
      <w:hyperlink w:anchor="P38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подпункте 13 пункта 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коэффициент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4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Мишкинской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16.12.2008 N 467)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Собственник торгового места, объекта организации общественного питания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Поликлиники, больницы, культурные, выставочные центры и образовательные учреждения, указанные в </w:t>
            </w:r>
            <w:hyperlink r:id="rId25" w:history="1">
              <w:r w:rsidRPr="008C41B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подпункте 2 пункта 4 статьи 12</w:t>
              </w:r>
            </w:hyperlink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Закона Российской Федерации "Об образовании"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</w:tbl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1.8. Для оказания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посетителей, указанных в </w:t>
      </w:r>
      <w:hyperlink w:anchor="P40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подпункте 14 пункта 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коэффициент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6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Мишкинской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16.12.2008 N 467)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Поликлиники, больницы, культурные, выставочные центры и образовательные учреждения, указанные в </w:t>
            </w:r>
            <w:hyperlink r:id="rId27" w:history="1">
              <w:r w:rsidRPr="008C41B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подпункте 2 пункта 4 статьи 12</w:t>
              </w:r>
            </w:hyperlink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Закона Российской Федерации "Об образовании"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</w:tbl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2)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.2 - фактор, учитывающий площади торгового зала (зала обслуживания посетителей), площади стоянки или количества работников, включая индивидуального предпринимателя, применяется для видов предпринимательской деятельности, указанных в </w:t>
      </w:r>
      <w:hyperlink w:anchor="P20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1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3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6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5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0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7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6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11 пункта 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2.1. Для видов предпринимательской деятельности, указанных в </w:t>
      </w:r>
      <w:hyperlink w:anchor="P20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(оказание бытовых услуг); </w:t>
      </w:r>
      <w:hyperlink w:anchor="P21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(оказание услуг по ремонту, техническому обслуживанию и мойке автотранспортных средств), </w:t>
      </w:r>
      <w:hyperlink w:anchor="P36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11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(оказание ветеринарных услуг) пункта 2 настоящего Решения, коэффициент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человек включительно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11 до 20 включительно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0,95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от 21 до 30 включительно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0,90</w:t>
            </w:r>
          </w:p>
        </w:tc>
      </w:tr>
      <w:tr w:rsidR="007C1A48" w:rsidRPr="008C41BB">
        <w:tc>
          <w:tcPr>
            <w:tcW w:w="606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31 и более</w:t>
            </w:r>
          </w:p>
        </w:tc>
        <w:tc>
          <w:tcPr>
            <w:tcW w:w="300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</w:tbl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2.2. 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При розничной торговле запасными частями, ковровыми изделиями, часами, мебелью, аудио-, видео-, оргтехникой, сложной бытовой техникой, мехом и меховыми изделиями, изделиями из кожи и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кожзаменительной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(кроме обуви и кожгалантереи), ювелирными изделиями, в случае, если объем реализации указанных видов товаров за налоговый период составляет более 50 процентов от общего объема реализации, при площади торгового зала до 40 кв. м включительно, значение корректирующего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коэффициента принимается 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1.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от 40 кв. м до 100 кв. м включительно значение корректирующего коэффициента рассчитывается по формуле: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323DE6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pict>
          <v:shape id="_x0000_i1025" style="width:149.25pt;height:33.75pt" coordsize="" o:spt="100" adj="0,,0" path="" filled="f" stroked="f">
            <v:stroke joinstyle="miter"/>
            <v:imagedata r:id="rId28" o:title="base_23825_47742_32768"/>
            <v:formulas/>
            <v:path o:connecttype="segments"/>
          </v:shape>
        </w:pic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от 100 кв. м до 150 кв. м включительно значение корректирующего коэффициента рассчитывается по формуле: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323DE6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pict>
          <v:shape id="_x0000_i1026" style="width:148.5pt;height:33.75pt" coordsize="" o:spt="100" adj="0,,0" path="" filled="f" stroked="f">
            <v:stroke joinstyle="miter"/>
            <v:imagedata r:id="rId29" o:title="base_23825_47742_32769"/>
            <v:formulas/>
            <v:path o:connecttype="segments"/>
          </v:shape>
        </w:pic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где S - общая площадь торгового зала, кв. м.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Для розничной торговли иными товарами при площади торгового зала до 30 кв. м включительно значение корректирующего коэффициента принимается 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1.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от 30 кв. м до 50 кв. м включительно значение корректирующего коэффициента рассчитывается по формуле: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323DE6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pict>
          <v:shape id="_x0000_i1027" style="width:143.25pt;height:33.75pt" coordsize="" o:spt="100" adj="0,,0" path="" filled="f" stroked="f">
            <v:stroke joinstyle="miter"/>
            <v:imagedata r:id="rId30" o:title="base_23825_47742_32770"/>
            <v:formulas/>
            <v:path o:connecttype="segments"/>
          </v:shape>
        </w:pic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от 50 кв. м до 100 кв. м включительно значение корректирующего коэффициента рассчитывается по формуле: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323DE6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pict>
          <v:shape id="_x0000_i1028" style="width:141.75pt;height:33.75pt" coordsize="" o:spt="100" adj="0,,0" path="" filled="f" stroked="f">
            <v:stroke joinstyle="miter"/>
            <v:imagedata r:id="rId31" o:title="base_23825_47742_32771"/>
            <v:formulas/>
            <v:path o:connecttype="segments"/>
          </v:shape>
        </w:pic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от 100 кв. м до 150 кв. м включительно значение корректирующего коэффициента рассчитывается по формуле: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323DE6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pict>
          <v:shape id="_x0000_i1029" style="width:136.5pt;height:33.75pt" coordsize="" o:spt="100" adj="0,,0" path="" filled="f" stroked="f">
            <v:stroke joinstyle="miter"/>
            <v:imagedata r:id="rId32" o:title="base_23825_47742_32772"/>
            <v:formulas/>
            <v:path o:connecttype="segments"/>
          </v:shape>
        </w:pic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где S - общая площадь торгового зала, кв. м.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2.3. Для оказания услуг общественного питания без реализации алкогольной продукции и (или) пива при площади зала обслуживания посетителей до 30 кв. м включительно значение корректирующего коэффициента принимается 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1.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При площади зала обслуживания посетителей от 30 кв. м до 50 кв. м включительно значение корректирующего коэффициента рассчитывается по формуле: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323DE6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pict>
          <v:shape id="_x0000_i1030" style="width:143.25pt;height:33.75pt" coordsize="" o:spt="100" adj="0,,0" path="" filled="f" stroked="f">
            <v:stroke joinstyle="miter"/>
            <v:imagedata r:id="rId30" o:title="base_23825_47742_32773"/>
            <v:formulas/>
            <v:path o:connecttype="segments"/>
          </v:shape>
        </w:pic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При площади зала обслуживания посетителей от 50 кв. м до 100 кв. м включительно значение корректирующего коэффициента рассчитывается по формуле: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323DE6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pict>
          <v:shape id="_x0000_i1031" style="width:141.75pt;height:33.75pt" coordsize="" o:spt="100" adj="0,,0" path="" filled="f" stroked="f">
            <v:stroke joinstyle="miter"/>
            <v:imagedata r:id="rId31" o:title="base_23825_47742_32774"/>
            <v:formulas/>
            <v:path o:connecttype="segments"/>
          </v:shape>
        </w:pic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При площади зала обслуживания посетителей от 100 кв. м до 150 кв. м включительно значение корректирующего коэффициента рассчитывается по формуле: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323DE6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pict>
          <v:shape id="_x0000_i1032" style="width:136.5pt;height:33.75pt" coordsize="" o:spt="100" adj="0,,0" path="" filled="f" stroked="f">
            <v:stroke joinstyle="miter"/>
            <v:imagedata r:id="rId32" o:title="base_23825_47742_32775"/>
            <v:formulas/>
            <v:path o:connecttype="segments"/>
          </v:shape>
        </w:pic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где S - общая площадь зала обслуживания посетителей, кв. м.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Для оказания услуг общественного питания с реализацией алкогольной продукции и (или) пива значение корректирующего коэффициента принимается 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1.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2.4. Для оказания услуг по хранению автотранспортных средств на платных стоянках при площади стоянки до 1000 кв. м включительно значение корректирующего коэффициента принимается 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1.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При площади стоянки более 1000 кв. м значение корректирующего коэффициента рассчитывается по формуле: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323DE6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pict>
          <v:shape id="_x0000_i1033" style="width:167.25pt;height:33.75pt" coordsize="" o:spt="100" adj="0,,0" path="" filled="f" stroked="f">
            <v:stroke joinstyle="miter"/>
            <v:imagedata r:id="rId33" o:title="base_23825_47742_32776"/>
            <v:formulas/>
            <v:path o:connecttype="segments"/>
          </v:shape>
        </w:pic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где S - общая площадь стоянки, кв. м.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3)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.3 - фактор, учитывающий численность жителей населенного пункта, применяется для видов предпринимательской деятельности, указанных в </w:t>
      </w:r>
      <w:hyperlink w:anchor="P20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1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3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6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5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7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0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7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1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8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2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9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4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10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6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11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7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12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8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13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40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14 пункта 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5046"/>
      </w:tblGrid>
      <w:tr w:rsidR="007C1A48" w:rsidRPr="008C41BB">
        <w:tc>
          <w:tcPr>
            <w:tcW w:w="402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населения человек</w:t>
            </w:r>
          </w:p>
        </w:tc>
        <w:tc>
          <w:tcPr>
            <w:tcW w:w="504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.3</w:t>
            </w:r>
          </w:p>
        </w:tc>
      </w:tr>
      <w:tr w:rsidR="007C1A48" w:rsidRPr="008C41BB">
        <w:tc>
          <w:tcPr>
            <w:tcW w:w="402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300</w:t>
            </w:r>
          </w:p>
        </w:tc>
        <w:tc>
          <w:tcPr>
            <w:tcW w:w="504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7C1A48" w:rsidRPr="008C41BB">
        <w:tc>
          <w:tcPr>
            <w:tcW w:w="402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300 - 1000</w:t>
            </w:r>
          </w:p>
        </w:tc>
        <w:tc>
          <w:tcPr>
            <w:tcW w:w="504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7C1A48" w:rsidRPr="008C41BB">
        <w:tc>
          <w:tcPr>
            <w:tcW w:w="402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1001 - 3000</w:t>
            </w:r>
          </w:p>
        </w:tc>
        <w:tc>
          <w:tcPr>
            <w:tcW w:w="504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7C1A48" w:rsidRPr="008C41BB">
        <w:tc>
          <w:tcPr>
            <w:tcW w:w="402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3001 - 5000</w:t>
            </w:r>
          </w:p>
        </w:tc>
        <w:tc>
          <w:tcPr>
            <w:tcW w:w="504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0,45</w:t>
            </w:r>
          </w:p>
        </w:tc>
      </w:tr>
      <w:tr w:rsidR="007C1A48" w:rsidRPr="008C41BB">
        <w:tc>
          <w:tcPr>
            <w:tcW w:w="402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5001 - 10000</w:t>
            </w:r>
          </w:p>
        </w:tc>
        <w:tc>
          <w:tcPr>
            <w:tcW w:w="504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0,65</w:t>
            </w:r>
          </w:p>
        </w:tc>
      </w:tr>
      <w:tr w:rsidR="007C1A48" w:rsidRPr="008C41BB">
        <w:tc>
          <w:tcPr>
            <w:tcW w:w="402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10001 - 20000</w:t>
            </w:r>
          </w:p>
        </w:tc>
        <w:tc>
          <w:tcPr>
            <w:tcW w:w="504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</w:tr>
      <w:tr w:rsidR="007C1A48" w:rsidRPr="008C41BB">
        <w:tc>
          <w:tcPr>
            <w:tcW w:w="4025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свыше 20000</w:t>
            </w:r>
          </w:p>
        </w:tc>
        <w:tc>
          <w:tcPr>
            <w:tcW w:w="5046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При осуществлении налогоплательщиком видов предпринимательской деятельности, </w:t>
      </w:r>
      <w:r w:rsidRPr="008C41BB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указанных в </w:t>
      </w:r>
      <w:hyperlink w:anchor="P20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1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3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6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5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7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0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7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1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8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2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9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4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10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6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11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7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12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8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13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40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14 пункта 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вне населенных пунктов или в разных населенных пунктах в течение налогового периода применяется значение корректирующего коэффициента, соответствующее месту нахождения представительного органа района.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Численность жителей населенного пункта определяется по состоянию на 1 января года, в котором происходит исчисление налога.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Сведения о численности жителей доводятся администрациями городских и сельских поселений до налогоплательщиков посредством обнародования ежегодно, не позднее 30 января каждого года.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пп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. 3 в ред. </w:t>
      </w:r>
      <w:hyperlink r:id="rId34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Мишкинской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24.02.2009 N 492)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4)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.4 - фактор, учитывающий право, на основании которого налогоплательщик использует места организации розничной торговли, осуществляемой через объекты стационарной торговой сети (магазин, павильон, киоск), применяется для видов предпринимательской деятельности, указанных в </w:t>
      </w:r>
      <w:hyperlink w:anchor="P26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пунктах 5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28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6.1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(за исключением розничной торговли, осуществляемой через объекты нестационарной торговой сети):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на праве аренды - 0,95;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на праве собственности и ином вещном праве - 1.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5)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.5 - фактор, учитывающий место осуществления налогоплательщиком деятельности внутри населенного пункта с численностью населения более 3000 человек, применяется для видов предпринимательской деятельности, указанных в </w:t>
      </w:r>
      <w:hyperlink w:anchor="P20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6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5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8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6.1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0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7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1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8 пункта 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Решения. Корректирующий коэффициент имеет следующие значения: зона 1 - 1,0; зона 2 - 0,75; зона 3 - 0,5.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а) Зона 1 - улицы: 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Мира, Грибоедова,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Лензаимка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Береговая, Павших борцов, Ивана Лукина, Рабоче-Крестьянская с N 1 по N 69 и с N 2 по N 146, Ленина, железнодорожные дома с северной стороны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., Пролетарская, Почтовая, Школьная с N 1 по N 37 и с N 2 по N 30, Телеграфная, Первомайская, Восточная, Юбилейная, Пушкина,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М.Горького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Свободы,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Миляева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>, Правды, Победы, Заводская;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переулки: 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Заводской, Правдинский, Комсомольский,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Миляевский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Лензаимка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>, Мира, Ленинский, Школьный, Восточный, Пушкина, Первомайский, Пионерский.</w:t>
      </w:r>
      <w:proofErr w:type="gramEnd"/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б) Зона 2 - улицы: 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МТС, Карла Маркса,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Коростина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Железнодорожная, Школьная с N 39 по N 89 и N 32 по N 54, Кирова, Касьяновых, 47 лет Октября, Октябрьская, Труда, Новая, Старое Мишкино, Калинина, Строительная, Дорожная, Грязнова, Жукова, Калинина, Молодежная,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Шадра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>, Садовая; переулки: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К.Маркса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Юбилейный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, Дорожный, Строительный, Ст. Мишкино.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в) Зона 3 - улицы: 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Монтажная, Заозерная, Шевченко, 70 лет Советской власти, Энергетиков, Забойная, Дачная, Профсоюзная, Северная, 40 лет Октября, Березовая роща, Советская, Кооперативная, Интернациональная, Сибирская, Совхозная, Рабочая, Центральная, Мельничная,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Ленева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Шабурова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>, Путейская, Зерновая, Степная, Лесная, Полевая, Южная, Луговая, Рабоче-крестьянская с N 71 по N 139 и с N 148 по N 171.</w:t>
      </w:r>
      <w:proofErr w:type="gramEnd"/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6)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.6 - корректирующий коэффициент, учитывающий категорию налогоплательщиков и (или) лиц, которым оказываются бытовые и (или) автотранспортные услуги, применяются для видов предпринимательской деятельности, указанных в </w:t>
      </w:r>
      <w:hyperlink w:anchor="P20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25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4 пункта 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35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Мишкинской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 от 24.11.2010 N 69)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7C1A48" w:rsidRPr="008C41BB">
        <w:tc>
          <w:tcPr>
            <w:tcW w:w="6973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Подвид деятельности</w:t>
            </w:r>
          </w:p>
        </w:tc>
        <w:tc>
          <w:tcPr>
            <w:tcW w:w="2098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Корректирующий коэффициент К</w:t>
            </w:r>
            <w:proofErr w:type="gram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.6</w:t>
            </w:r>
          </w:p>
        </w:tc>
      </w:tr>
      <w:tr w:rsidR="007C1A48" w:rsidRPr="008C41BB">
        <w:tc>
          <w:tcPr>
            <w:tcW w:w="6973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Оказание социальными службами населения бытовых услуг и </w:t>
            </w: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(или) автотранспортных услуг по перевозке пассажиров и грузов пенсионерам, инвалидам, малообеспеченным семьям, имеющим несовершеннолетних детей</w:t>
            </w:r>
          </w:p>
        </w:tc>
        <w:tc>
          <w:tcPr>
            <w:tcW w:w="2098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0,1</w:t>
            </w:r>
          </w:p>
        </w:tc>
      </w:tr>
      <w:tr w:rsidR="007C1A48" w:rsidRPr="008C41BB">
        <w:tc>
          <w:tcPr>
            <w:tcW w:w="6973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Оказание бытовых услуг индивидуальными предпринимателями, являющимися инвалидами 1 и 2 групп и непосредственно осуществляющими предпринимательскую деятельность без применения наемного труда</w:t>
            </w:r>
          </w:p>
        </w:tc>
        <w:tc>
          <w:tcPr>
            <w:tcW w:w="2098" w:type="dxa"/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</w:tr>
      <w:tr w:rsidR="007C1A48" w:rsidRPr="008C41BB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или автотранспортных услуг по перевозке пассажиров и грузов иными категориями налогоплательщиков и (или) другим категориям лиц</w:t>
            </w:r>
          </w:p>
        </w:tc>
        <w:tc>
          <w:tcPr>
            <w:tcW w:w="2098" w:type="dxa"/>
            <w:tcBorders>
              <w:bottom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7C1A48" w:rsidRPr="008C41B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7C1A48" w:rsidRPr="008C41BB" w:rsidRDefault="007C1A48" w:rsidP="008C41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(позиция введена </w:t>
            </w:r>
            <w:hyperlink r:id="rId36" w:history="1">
              <w:r w:rsidRPr="008C41BB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Решением</w:t>
              </w:r>
            </w:hyperlink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Мишкинской</w:t>
            </w:r>
            <w:proofErr w:type="spellEnd"/>
            <w:r w:rsidRPr="008C41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 от 27.02.2010 N 579)</w:t>
            </w:r>
          </w:p>
        </w:tc>
      </w:tr>
    </w:tbl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7)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.7 - корректирующий коэффициент, учитывающий среднемесячный размер начисления заработной платы в расчете на одного работника (за исключением индивидуального предпринимателя) за налоговый период, применяется для всех видов предпринимательской деятельности, указанных в </w:t>
      </w:r>
      <w:hyperlink w:anchor="P19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- при выплате заработной платы на уровне прожиточного минимума по Курганской области - 1;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- при выплате заработной платы выше прожиточного минимума по Курганской области - 0,95.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5. Документы, подтверждающие величину физического показателя и правильность определения корректирующего коэффициента К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>, и расчет значения коэффициента К2 (а также значение факторов) произвольной формы предоставляются налогоплательщиками в налоговые органы не позднее 20 числа первого месяца, следующего за налоговым периодом (одновременно с соответствующей налоговой декларацией).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6. Признать утратившим силу </w:t>
      </w:r>
      <w:hyperlink r:id="rId37" w:history="1">
        <w:r w:rsidRPr="008C41BB">
          <w:rPr>
            <w:rFonts w:ascii="Times New Roman" w:hAnsi="Times New Roman" w:cs="Times New Roman"/>
            <w:b w:val="0"/>
            <w:sz w:val="24"/>
            <w:szCs w:val="24"/>
          </w:rPr>
          <w:t>Решение</w:t>
        </w:r>
      </w:hyperlink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Мишкинской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N 70 от 27 сентября 2005 года "О введении системы налогообложения в виде единого налога на вмененный доход для отдельных видов деятельности".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7. Настоящее Решение опубликовать в Информационном бюллетене администрации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Мишкинского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района "Официальный вестник".</w:t>
      </w:r>
    </w:p>
    <w:p w:rsidR="007C1A48" w:rsidRPr="008C41BB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>8. Настоящее Решение вступает в силу по истечении одного месяца со дня его официального опубликования и применяется к правоотношениям, возникшим с 1 января 2008 года.</w:t>
      </w:r>
    </w:p>
    <w:p w:rsidR="007C1A48" w:rsidRDefault="007C1A48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9. </w:t>
      </w:r>
      <w:proofErr w:type="gramStart"/>
      <w:r w:rsidRPr="008C41BB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8C41BB">
        <w:rPr>
          <w:rFonts w:ascii="Times New Roman" w:hAnsi="Times New Roman" w:cs="Times New Roman"/>
          <w:b w:val="0"/>
          <w:sz w:val="24"/>
          <w:szCs w:val="24"/>
        </w:rPr>
        <w:t xml:space="preserve"> выполнением настоящего Решения возложить на председателя постоянной планово-бюджетной комиссии </w:t>
      </w:r>
      <w:proofErr w:type="spellStart"/>
      <w:r w:rsidRPr="008C41BB">
        <w:rPr>
          <w:rFonts w:ascii="Times New Roman" w:hAnsi="Times New Roman" w:cs="Times New Roman"/>
          <w:b w:val="0"/>
          <w:sz w:val="24"/>
          <w:szCs w:val="24"/>
        </w:rPr>
        <w:t>Н.В.Зайцеву</w:t>
      </w:r>
      <w:proofErr w:type="spellEnd"/>
      <w:r w:rsidRPr="008C41B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23DE6" w:rsidRDefault="00323DE6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23DE6" w:rsidRPr="008C41BB" w:rsidRDefault="00323DE6" w:rsidP="008C41B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0" w:name="_GoBack"/>
      <w:bookmarkEnd w:id="20"/>
    </w:p>
    <w:p w:rsidR="008C41BB" w:rsidRPr="008C41BB" w:rsidRDefault="007C1A48" w:rsidP="008C41BB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8C41BB">
        <w:rPr>
          <w:rFonts w:ascii="Times New Roman" w:hAnsi="Times New Roman" w:cs="Times New Roman"/>
          <w:b w:val="0"/>
          <w:i/>
          <w:sz w:val="24"/>
          <w:szCs w:val="24"/>
        </w:rPr>
        <w:t>Глава</w:t>
      </w:r>
    </w:p>
    <w:p w:rsidR="007C1A48" w:rsidRPr="008C41BB" w:rsidRDefault="007C1A48" w:rsidP="008C41BB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8C41BB">
        <w:rPr>
          <w:rFonts w:ascii="Times New Roman" w:hAnsi="Times New Roman" w:cs="Times New Roman"/>
          <w:b w:val="0"/>
          <w:i/>
          <w:sz w:val="24"/>
          <w:szCs w:val="24"/>
        </w:rPr>
        <w:t>Мишкинского</w:t>
      </w:r>
      <w:proofErr w:type="spellEnd"/>
      <w:r w:rsidRPr="008C41BB">
        <w:rPr>
          <w:rFonts w:ascii="Times New Roman" w:hAnsi="Times New Roman" w:cs="Times New Roman"/>
          <w:b w:val="0"/>
          <w:i/>
          <w:sz w:val="24"/>
          <w:szCs w:val="24"/>
        </w:rPr>
        <w:t xml:space="preserve"> района</w:t>
      </w:r>
    </w:p>
    <w:p w:rsidR="007C1A48" w:rsidRDefault="007C1A48" w:rsidP="002F695B">
      <w:pPr>
        <w:pStyle w:val="ConsPlusTitle"/>
        <w:jc w:val="right"/>
        <w:rPr>
          <w:sz w:val="2"/>
          <w:szCs w:val="2"/>
        </w:rPr>
      </w:pPr>
      <w:r w:rsidRPr="008C41BB">
        <w:rPr>
          <w:rFonts w:ascii="Times New Roman" w:hAnsi="Times New Roman" w:cs="Times New Roman"/>
          <w:b w:val="0"/>
          <w:i/>
          <w:sz w:val="24"/>
          <w:szCs w:val="24"/>
        </w:rPr>
        <w:t>С.Н.</w:t>
      </w:r>
      <w:r w:rsidR="00526F5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8C41BB">
        <w:rPr>
          <w:rFonts w:ascii="Times New Roman" w:hAnsi="Times New Roman" w:cs="Times New Roman"/>
          <w:b w:val="0"/>
          <w:i/>
          <w:sz w:val="24"/>
          <w:szCs w:val="24"/>
        </w:rPr>
        <w:t>Б</w:t>
      </w:r>
      <w:r w:rsidR="008C41BB">
        <w:rPr>
          <w:rFonts w:ascii="Times New Roman" w:hAnsi="Times New Roman" w:cs="Times New Roman"/>
          <w:b w:val="0"/>
          <w:i/>
          <w:sz w:val="24"/>
          <w:szCs w:val="24"/>
        </w:rPr>
        <w:t>аженов</w:t>
      </w:r>
    </w:p>
    <w:p w:rsidR="00620A07" w:rsidRDefault="00620A07"/>
    <w:sectPr w:rsidR="00620A07" w:rsidSect="00B0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48"/>
    <w:rsid w:val="002F695B"/>
    <w:rsid w:val="00323DE6"/>
    <w:rsid w:val="00394B82"/>
    <w:rsid w:val="00526F5B"/>
    <w:rsid w:val="00591487"/>
    <w:rsid w:val="00620A07"/>
    <w:rsid w:val="006F3061"/>
    <w:rsid w:val="007C1A48"/>
    <w:rsid w:val="008C41BB"/>
    <w:rsid w:val="0095129C"/>
    <w:rsid w:val="00C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1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1A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1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1A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7F2B775C18FCCB2AFB6C5A76CC303219B18E17DF67DB94DF67909A897DF9EB860F87AD3BC55A6F18101267CAFF3580E777A7088CFE73842834Cv4j4H" TargetMode="External"/><Relationship Id="rId13" Type="http://schemas.openxmlformats.org/officeDocument/2006/relationships/hyperlink" Target="consultantplus://offline/ref=DF37F2B775C18FCCB2AFB6C5A76CC303219B18E17DFA71BD45F67909A897DF9EB860F87AD3BC55A6F18101257CAFF3580E777A7088CFE73842834Cv4j4H" TargetMode="External"/><Relationship Id="rId18" Type="http://schemas.openxmlformats.org/officeDocument/2006/relationships/hyperlink" Target="consultantplus://offline/ref=DF37F2B775C18FCCB2AFB6C5A76CC303219B18E17DFA71BD45F67909A897DF9EB860F87AD3BC55A6F18100277CAFF3580E777A7088CFE73842834Cv4j4H" TargetMode="External"/><Relationship Id="rId26" Type="http://schemas.openxmlformats.org/officeDocument/2006/relationships/hyperlink" Target="consultantplus://offline/ref=DF37F2B775C18FCCB2AFB6C5A76CC303219B18E17DFA71BD45F67909A897DF9EB860F87AD3BC55A6F181002A7CAFF3580E777A7088CFE73842834Cv4j4H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F37F2B775C18FCCB2AFB6C5A76CC303219B18E178F877B345F67909A897DF9EB860F87AD3BC55A6F181012B7CAFF3580E777A7088CFE73842834Cv4j4H" TargetMode="External"/><Relationship Id="rId34" Type="http://schemas.openxmlformats.org/officeDocument/2006/relationships/hyperlink" Target="consultantplus://offline/ref=DF37F2B775C18FCCB2AFB6C5A76CC303219B18E17DF870BA4AF67909A897DF9EB860F87AD3BC55A6F18101257CAFF3580E777A7088CFE73842834Cv4j4H" TargetMode="External"/><Relationship Id="rId7" Type="http://schemas.openxmlformats.org/officeDocument/2006/relationships/hyperlink" Target="consultantplus://offline/ref=DF37F2B775C18FCCB2AFB6C5A76CC303219B18E17DF870B949F67909A897DF9EB860F87AD3BC55A6F18101267CAFF3580E777A7088CFE73842834Cv4j4H" TargetMode="External"/><Relationship Id="rId12" Type="http://schemas.openxmlformats.org/officeDocument/2006/relationships/hyperlink" Target="consultantplus://offline/ref=DF37F2B775C18FCCB2AFB6C5A76CC303219B18E17EFA72B84BF67909A897DF9EB860F87AD3BC55A6F18101257CAFF3580E777A7088CFE73842834Cv4j4H" TargetMode="External"/><Relationship Id="rId17" Type="http://schemas.openxmlformats.org/officeDocument/2006/relationships/hyperlink" Target="consultantplus://offline/ref=DF37F2B775C18FCCB2AFB6C5A76CC303219B18E17DFA71BD45F67909A897DF9EB860F87AD3BC55A6F18100217CAFF3580E777A7088CFE73842834Cv4j4H" TargetMode="External"/><Relationship Id="rId25" Type="http://schemas.openxmlformats.org/officeDocument/2006/relationships/hyperlink" Target="consultantplus://offline/ref=DF37F2B775C18FCCB2AFA8C8B1009F09239341EB7CF87EEC10A92254FF9ED5C9FF2FA13897B155A7F88A557233AEAF1C58647A7A88CDEE27v4j9H" TargetMode="External"/><Relationship Id="rId33" Type="http://schemas.openxmlformats.org/officeDocument/2006/relationships/image" Target="media/image6.wmf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F37F2B775C18FCCB2AFB6C5A76CC303219B18E17EFA72B84BF67909A897DF9EB860F87AD3BC55A6F181012B7CAFF3580E777A7088CFE73842834Cv4j4H" TargetMode="External"/><Relationship Id="rId20" Type="http://schemas.openxmlformats.org/officeDocument/2006/relationships/hyperlink" Target="consultantplus://offline/ref=DF37F2B775C18FCCB2AFB6C5A76CC303219B18E178F877B345F67909A897DF9EB860F87AD3BC55A6F18101247CAFF3580E777A7088CFE73842834Cv4j4H" TargetMode="External"/><Relationship Id="rId29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DF37F2B775C18FCCB2AFB6C5A76CC303219B18E17DF870BA4AF67909A897DF9EB860F87AD3BC55A6F18101267CAFF3580E777A7088CFE73842834Cv4j4H" TargetMode="External"/><Relationship Id="rId11" Type="http://schemas.openxmlformats.org/officeDocument/2006/relationships/hyperlink" Target="consultantplus://offline/ref=DF37F2B775C18FCCB2AFA8C8B1009F0921924EE87EFD7EEC10A92254FF9ED5C9FF2FA13891B152ADA5D045767AFBA1025B73647196CEvEj7H" TargetMode="External"/><Relationship Id="rId24" Type="http://schemas.openxmlformats.org/officeDocument/2006/relationships/hyperlink" Target="consultantplus://offline/ref=DF37F2B775C18FCCB2AFB6C5A76CC303219B18E17DFA71BD45F67909A897DF9EB860F87AD3BC55A6F181002A7CAFF3580E777A7088CFE73842834Cv4j4H" TargetMode="External"/><Relationship Id="rId32" Type="http://schemas.openxmlformats.org/officeDocument/2006/relationships/image" Target="media/image5.wmf"/><Relationship Id="rId37" Type="http://schemas.openxmlformats.org/officeDocument/2006/relationships/hyperlink" Target="consultantplus://offline/ref=DF37F2B775C18FCCB2AFB6C5A76CC303219B18E17DFD74B349F67909A897DF9EB860F868D3E459A6F29F012A69F9A21Dv5j2H" TargetMode="External"/><Relationship Id="rId5" Type="http://schemas.openxmlformats.org/officeDocument/2006/relationships/hyperlink" Target="consultantplus://offline/ref=DF37F2B775C18FCCB2AFB6C5A76CC303219B18E17DFA71BD45F67909A897DF9EB860F87AD3BC55A6F18101267CAFF3580E777A7088CFE73842834Cv4j4H" TargetMode="External"/><Relationship Id="rId15" Type="http://schemas.openxmlformats.org/officeDocument/2006/relationships/hyperlink" Target="consultantplus://offline/ref=DF37F2B775C18FCCB2AFB6C5A76CC303219B18E17DFA71BD45F67909A897DF9EB860F87AD3BC55A6F181012B7CAFF3580E777A7088CFE73842834Cv4j4H" TargetMode="External"/><Relationship Id="rId23" Type="http://schemas.openxmlformats.org/officeDocument/2006/relationships/hyperlink" Target="consultantplus://offline/ref=DF37F2B775C18FCCB2AFB6C5A76CC303219B18E178F877B345F67909A897DF9EB860F87AD3BC55A6F181012A7CAFF3580E777A7088CFE73842834Cv4j4H" TargetMode="External"/><Relationship Id="rId28" Type="http://schemas.openxmlformats.org/officeDocument/2006/relationships/image" Target="media/image1.wmf"/><Relationship Id="rId36" Type="http://schemas.openxmlformats.org/officeDocument/2006/relationships/hyperlink" Target="consultantplus://offline/ref=DF37F2B775C18FCCB2AFB6C5A76CC303219B18E17DF870B949F67909A897DF9EB860F87AD3BC55A6F181012B7CAFF3580E777A7088CFE73842834Cv4j4H" TargetMode="External"/><Relationship Id="rId10" Type="http://schemas.openxmlformats.org/officeDocument/2006/relationships/hyperlink" Target="consultantplus://offline/ref=DF37F2B775C18FCCB2AFB6C5A76CC303219B18E178F877B345F67909A897DF9EB860F87AD3BC55A6F18101267CAFF3580E777A7088CFE73842834Cv4j4H" TargetMode="External"/><Relationship Id="rId19" Type="http://schemas.openxmlformats.org/officeDocument/2006/relationships/hyperlink" Target="consultantplus://offline/ref=DF37F2B775C18FCCB2AFB6C5A76CC303219B18E178F877B345F67909A897DF9EB860F87AD3BC55A6F18101257CAFF3580E777A7088CFE73842834Cv4j4H" TargetMode="External"/><Relationship Id="rId31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37F2B775C18FCCB2AFB6C5A76CC303219B18E17EFA72B84BF67909A897DF9EB860F87AD3BC55A6F18101267CAFF3580E777A7088CFE73842834Cv4j4H" TargetMode="External"/><Relationship Id="rId14" Type="http://schemas.openxmlformats.org/officeDocument/2006/relationships/hyperlink" Target="consultantplus://offline/ref=DF37F2B775C18FCCB2AFB6C5A76CC303219B18E17EFA72B84BF67909A897DF9EB860F87AD3BC55A6F18101247CAFF3580E777A7088CFE73842834Cv4j4H" TargetMode="External"/><Relationship Id="rId22" Type="http://schemas.openxmlformats.org/officeDocument/2006/relationships/hyperlink" Target="consultantplus://offline/ref=DF37F2B775C18FCCB2AFB6C5A76CC303219B18E17DF870B949F67909A897DF9EB860F87AD3BC55A6F18101257CAFF3580E777A7088CFE73842834Cv4j4H" TargetMode="External"/><Relationship Id="rId27" Type="http://schemas.openxmlformats.org/officeDocument/2006/relationships/hyperlink" Target="consultantplus://offline/ref=DF37F2B775C18FCCB2AFA8C8B1009F09239341EB7CF87EEC10A92254FF9ED5C9FF2FA13897B155A7F88A557233AEAF1C58647A7A88CDEE27v4j9H" TargetMode="External"/><Relationship Id="rId30" Type="http://schemas.openxmlformats.org/officeDocument/2006/relationships/image" Target="media/image3.wmf"/><Relationship Id="rId35" Type="http://schemas.openxmlformats.org/officeDocument/2006/relationships/hyperlink" Target="consultantplus://offline/ref=DF37F2B775C18FCCB2AFB6C5A76CC303219B18E17DF67DB94DF67909A897DF9EB860F87AD3BC55A6F18101257CAFF3580E777A7088CFE73842834Cv4j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4725</Words>
  <Characters>26933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Кощугулова Р.Б.</cp:lastModifiedBy>
  <cp:revision>16</cp:revision>
  <dcterms:created xsi:type="dcterms:W3CDTF">2019-09-03T07:35:00Z</dcterms:created>
  <dcterms:modified xsi:type="dcterms:W3CDTF">2019-09-03T07:43:00Z</dcterms:modified>
</cp:coreProperties>
</file>