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A3" w:rsidRPr="00EF0A05" w:rsidRDefault="005D5BA3" w:rsidP="00EF0A05">
      <w:pPr>
        <w:pStyle w:val="ConsPlusTitlePage"/>
      </w:pP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t>оловинская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от 21 ноября 2007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t>178-1</w:t>
      </w: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о системе налогообложения</w:t>
      </w:r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в виде единого налога на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5D5BA3" w:rsidRPr="00EF0A05" w:rsidRDefault="00EF0A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 деятельности</w:t>
      </w:r>
    </w:p>
    <w:p w:rsidR="005D5BA3" w:rsidRDefault="005D5B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13.11.2008 </w:t>
            </w:r>
            <w:hyperlink r:id="rId5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246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27.05.2009 </w:t>
            </w:r>
            <w:hyperlink r:id="rId6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286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29.11.2012 </w:t>
            </w:r>
            <w:hyperlink r:id="rId7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62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23.12.2016 </w:t>
            </w:r>
            <w:hyperlink r:id="rId8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78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18.05.2017 </w:t>
            </w:r>
            <w:hyperlink r:id="rId9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96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изм., внесенными Решениями </w:t>
            </w:r>
            <w:proofErr w:type="spell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</w:p>
          <w:p w:rsidR="005D5BA3" w:rsidRPr="00EF0A05" w:rsidRDefault="005D5BA3" w:rsidP="00EF0A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16.04.2010 </w:t>
            </w:r>
            <w:hyperlink r:id="rId10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10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27.04.2012 </w:t>
            </w:r>
            <w:hyperlink r:id="rId11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20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26.12.2012 </w:t>
            </w:r>
            <w:hyperlink r:id="rId12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71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D5BA3" w:rsidRPr="00EF0A05" w:rsidRDefault="005D5BA3" w:rsidP="00FE49E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21.07.2016 </w:t>
            </w:r>
            <w:hyperlink r:id="rId13" w:history="1">
              <w:r w:rsidR="00FE49E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bookmarkStart w:id="0" w:name="_GoBack"/>
              <w:bookmarkEnd w:id="0"/>
              <w:r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55</w:t>
              </w:r>
            </w:hyperlink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4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</w:t>
      </w:r>
      <w:hyperlink r:id="rId1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ст. 22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Устава муниципального образования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Половинского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района,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Половинская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муниципального образования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Половинского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1"/>
      <w:bookmarkEnd w:id="1"/>
      <w:r w:rsidRPr="00EF0A05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применяется в отношении следующих видов предпринимательской деятельности: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2"/>
      <w:bookmarkEnd w:id="2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6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 и Общероссийским </w:t>
      </w:r>
      <w:hyperlink r:id="rId1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продукции по видам экономической деятельности, относящихся к бытовым услугам;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 1 в ред. </w:t>
      </w:r>
      <w:hyperlink r:id="rId18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23.12.2016 N 78)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9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29.11.2012 N 62)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7"/>
      <w:bookmarkEnd w:id="3"/>
      <w:r w:rsidRPr="00EF0A05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</w:t>
      </w:r>
      <w:hyperlink r:id="rId20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N 246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, от 29.11.2012 </w:t>
      </w:r>
      <w:hyperlink r:id="rId2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N 62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9"/>
      <w:bookmarkEnd w:id="4"/>
      <w:r w:rsidRPr="00EF0A05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32"/>
      <w:bookmarkEnd w:id="5"/>
      <w:r w:rsidRPr="00EF0A05">
        <w:rPr>
          <w:rFonts w:ascii="Times New Roman" w:hAnsi="Times New Roman" w:cs="Times New Roman"/>
          <w:b w:val="0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33"/>
      <w:bookmarkEnd w:id="6"/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N 246)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3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N 246)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4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от 16.04.2010 N 10 из вида деятельности "распространение наружной рекламы с использованием рекламных конструкций" исключена реклама алкогольной продукции, реклама табака, табачных изделий и курительных принадлежностей.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42"/>
      <w:bookmarkEnd w:id="7"/>
      <w:r w:rsidRPr="00EF0A05">
        <w:rPr>
          <w:rFonts w:ascii="Times New Roman" w:hAnsi="Times New Roman" w:cs="Times New Roman"/>
          <w:b w:val="0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2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N 246)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44"/>
      <w:bookmarkEnd w:id="8"/>
      <w:r w:rsidRPr="00EF0A05">
        <w:rPr>
          <w:rFonts w:ascii="Times New Roman" w:hAnsi="Times New Roman" w:cs="Times New Roman"/>
          <w:b w:val="0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26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29.11.2012 N 62)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46"/>
      <w:bookmarkEnd w:id="9"/>
      <w:r w:rsidRPr="00EF0A05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47"/>
      <w:bookmarkEnd w:id="10"/>
      <w:r w:rsidRPr="00EF0A05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общественной питания, не имеющих зала обслуживания посетителей: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N 246)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51"/>
      <w:bookmarkEnd w:id="11"/>
      <w:r w:rsidRPr="00EF0A05">
        <w:rPr>
          <w:rFonts w:ascii="Times New Roman" w:hAnsi="Times New Roman" w:cs="Times New Roman"/>
          <w:b w:val="0"/>
          <w:sz w:val="24"/>
          <w:szCs w:val="24"/>
        </w:rPr>
        <w:t>14) оказания услуг,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28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13.11.2008 N 246)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пунктом настоящего Решения значений факторов, учитывающих особенности ведения (влияния на результат) предпринимательской деятельности. Значение корректирующего 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 значение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 Корректирующий коэффициент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.1 учитывает ассортимент товара, тип предприятия общественного питания, вид бытовых услуг и другие особенности ведения предпринимательской деятельности, указанных в </w:t>
      </w:r>
      <w:hyperlink w:anchor="P2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При оказании бытовых услуг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59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>, применяется значение корректирующего коэффициента, соответствующее этому виду услуг;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бытовых услуг, указанных в </w:t>
      </w:r>
      <w:hyperlink w:anchor="P59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>, и объеме каждого вида услуг за налоговый период в общем объеме оказанных услуг не более 50 процентов, применяется корректирующий коэффициент по виду услуг, по которому предусмотрено наибольшее значение корректирующего коэффициента.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2" w:name="P59"/>
            <w:bookmarkEnd w:id="12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бытовых услуг, ведется раздельный учет выручки по видам услуг. Налогоплательщики, оказывающие услуги через два отдельно расположенных пункта бытового обслуживания, ведут учет отдельно по каждому пункту. 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При отсутствии раздельного учета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пунктов (мест).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9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26.12.2012 N 71 в подпункт 4.2 пункта 4 внесено изменение: "для оказания ветеринарных услуг" значение корректирующего коэффициента К</w:t>
            </w:r>
            <w:proofErr w:type="gram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.1 установить 0,5.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4.2. Для оказания ветеринарных услуг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0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29.11.2012 N 62 в подпункте 4.3 пункта 4 слово "автотранспортных" заменено словом "автомототранспортных".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4.3. Для оказания услуг по ремонту, техническому обслуживанию и мойке транспортных средств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4.4. Для оказания услуг по хранению автомототранспортных средств на платных стоянках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29.11.2012 N 62)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2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21.07.2016 N 55 в пункте 4.5 пункта 4 слова "по перевозке пассажиров коэффициент 0,5" заменены словами "по перевозке пассажиров коэффициент 0,2".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- - - - - - - - - - - - - - - - - - - - - - - - -</w:t>
            </w:r>
          </w:p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3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27.04.2012 N 20, вносившее дополнения в пункт 4.5 статьи 4, признано утратившим силу </w:t>
            </w:r>
            <w:hyperlink r:id="rId34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31.10.2014 N 152.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- - - - - - - - - - - - - - - - - - - - - - - - -</w:t>
            </w:r>
          </w:p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5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27.04.2012 N 20 в пункт 4.5 статьи 4 внесены дополнения: "по перевозке пассажиров, оказываемых ООО "ПАТП-4", установлен коэффициент "0,2".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- - - - - - - - - - - - - - - - - - - - - - - - -</w:t>
            </w:r>
          </w:p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6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18.05.2017 N 96 в пункте 4 подпункта 4.5 слова "по перевозке пассажиров коэффициент 0,2" заменены словами "по перевозке пассажиров коэффициент 0,5".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4.5. Для оказания автотранспортных услуг, осуществляемых организациями и индивидуальными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- по перевозке грузов значение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1;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- по перевозке пассажиров - коэффициент 03.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27.05.2009 N 286)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4.6. При розничной торговле указанные в </w:t>
      </w:r>
      <w:hyperlink w:anchor="P3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3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в населенных пунктах, за исключением с. Половинное, фактор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- 04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- 06.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4.7. При розничной торговле в с. Половинное значение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11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, применяется 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значение корректирующего коэффициента, соответствующее этому виду (группе) товаров;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1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(группе) товаров, объем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1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>, и объеме реализации каждого вида (группы) товаров за налоговый период в общем объеме реализации не более 50%, принимается значение фактора по виду товаров, по которому предусмотрено наибольшее значение фактора.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3" w:name="P115"/>
            <w:bookmarkEnd w:id="13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фельдшерско-акушерские аптечные пункты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115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, ведется раздельный учет выручки по видам (группам) товаров. Налогоплательщики, осуществляющие розничную торговлю через два объекта и более стационарной и (или) </w:t>
      </w: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нестационарной торговой сети (за исключением разносной или развозной торговли), ведут учет отдельно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4.8.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и не реализующие алкогольную продукцию и (или) пиво: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Столовые предприятий, состоящие на балансе этих предприятий и обслуживающие только работающих на этих предприятиях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предприятия общественного питания без реализации алкогольной продукции и (или) пива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4.9. Оказание услуг общественного питания, осуществляемых через объекты организации общественного питания, не имеющие зала обслуживания посетителей, корректирующий коэффициент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4.10, 4.11. При распространении и (или) размещении наружной рекламы, рекламы на автобусах любых типов, легковых и грузовых автомобилях, прицепах, полуприцепах и прицепах-роспусках (виды предпринимательской деятельности, указанные в </w:t>
      </w:r>
      <w:hyperlink w:anchor="P4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подпунктах 10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44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11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фактор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4" w:name="P157"/>
            <w:bookmarkEnd w:id="14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изображения, и реклама на автобусах любых типов, легковых и грузовых автомобилях, прицепах, полуприцепах и прицепах-роспусках: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не более 1 кв. м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товаров, за исключением алкогольной продукции, пива, табака и (или) табачных изделий местных товаропроизводителей: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непосредственными </w:t>
            </w: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товаропроизводителями на щитах и иных стационарных технических средствах, которые находятся в их собственности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0,050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услуг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Наружная реклама, распространяемая и (или) размещаемая посредством световых и электронных табло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стационарном техническом средстве наружной рекламы (в том числе на многостороннем средстве, щите-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или ином средстве с автоматической сменой изображения), автобусе, трамвае, троллейбусе, легковом или грузовом автомобиле, прицепе, полуприцепе или прицепе-роспуске в виде одного изображения или нескольких изображений, содержащих рекламную информацию, в отношении которой в </w:t>
      </w:r>
      <w:hyperlink w:anchor="P15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 установлены различные значения фактора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4.12.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значение корректирующего коэффициента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4.13. При осуществлении видов предпринимательской деятельности, указанных в </w:t>
      </w:r>
      <w:hyperlink w:anchor="P4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подпунктах 13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.1 принимается равным 0,3.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5. Корректирующий коэффициент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.2 - фактор, учитывающий размер физического показателя.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5.1. Для видов предпринимательской деятельности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а) оказание бытовых услуг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б) оказание ветеринарных услуг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в) оказание услуг по ремонту, техническому обслуживанию и мойке автомототранспортных средств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8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29.11.2012 N 62)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г)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д) оказание услуг общественного питания через объекты организации общественного питания, не имеющие залов обслуживания посетителей,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10 человек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9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29.11.2012 N 62 в подпункте 5.2 пункта 5 слово "транспортных" заменено словом "автомототранспортных".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5.2. Для оказания услуг по хранению автотранспортных средств на платных стоянках при площади стоянки до 1000 кв. м включительно, значение корректирующего коэффициента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При площади стоянки более 1000 кв. м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48.5pt;height:33.75pt" coordsize="" o:spt="100" adj="0,,0" path="" filled="f" stroked="f">
            <v:stroke joinstyle="miter"/>
            <v:imagedata r:id="rId40" o:title="base_23825_48765_32768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5.3.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 в случае, если объем реализации указанных видов товаров за налоговый период составляет более 50% от общего объема реализации, при площади торгового зала до 40 кв. м включительно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, значение корректирующего коэффициента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40 кв. м до 100 кв. м включительно,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9.75pt;height:33.75pt" coordsize="" o:spt="100" adj="0,,0" path="" filled="f" stroked="f">
            <v:stroke joinstyle="miter"/>
            <v:imagedata r:id="rId41" o:title="base_23825_48765_32769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включительно,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31.25pt;height:33.75pt" coordsize="" o:spt="100" adj="0,,0" path="" filled="f" stroked="f">
            <v:stroke joinstyle="miter"/>
            <v:imagedata r:id="rId42" o:title="base_23825_48765_32770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где C - общая площадь торгового зала, кв. м.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Для розничной торговли (за исключением розничной торговли, указанной выше)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включительно, значение корректирующего коэффициента принимается равным 1. При площади торгового зала (зала обслуживания посетителей) от 30 кв. м до 50 кв. м включительно,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23pt;height:33.75pt" coordsize="" o:spt="100" adj="0,,0" path="" filled="f" stroked="f">
            <v:stroke joinstyle="miter"/>
            <v:imagedata r:id="rId43" o:title="base_23825_48765_32771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При площади торгового зала (зала обслуживания посетителей) от 50 кв. м до 100 кв. м включительно,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22.25pt;height:33.75pt" coordsize="" o:spt="100" adj="0,,0" path="" filled="f" stroked="f">
            <v:stroke joinstyle="miter"/>
            <v:imagedata r:id="rId44" o:title="base_23825_48765_32772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При площади торгового зала (зала обслуживания посетителей) от 100 кв. м до 150 кв. м включительно, значение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корректирующею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36.5pt;height:33.75pt" coordsize="" o:spt="100" adj="0,,0" path="" filled="f" stroked="f">
            <v:stroke joinstyle="miter"/>
            <v:imagedata r:id="rId45" o:title="base_23825_48765_32773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5.4. При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включительно, значение корректирующего коэффициента принимается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FE49E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23pt;height:33.75pt" coordsize="" o:spt="100" adj="0,,0" path="" filled="f" stroked="f">
            <v:stroke joinstyle="miter"/>
            <v:imagedata r:id="rId46" o:title="base_23825_48765_32774"/>
            <v:formulas/>
            <v:path o:connecttype="segments"/>
          </v:shape>
        </w:pic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5.5. Для распространения и (или) размещения наружной рекламы корректирующий коэффициент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(C), размещенного на одном стационарном техническом средстве наружной рекламы (для многостороннего средства или щита - общая площадь всех изображений), кв. м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+ 1,44/площадь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+ 10,8/площадь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+ 37,8/площадь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6.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принимается при осуществлении вида предпринимательской деятельности, указанного в </w:t>
      </w:r>
      <w:hyperlink w:anchor="P3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подпункте 6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На праве аренды - 0,9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На праве собственности - 1.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BA3" w:rsidRPr="00EF0A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BA3" w:rsidRPr="00EF0A05" w:rsidRDefault="00FE49E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7" w:history="1">
              <w:r w:rsidR="005D5BA3" w:rsidRPr="00EF0A0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Половинской</w:t>
            </w:r>
            <w:proofErr w:type="spell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от 16.04.2010 N 10 К</w:t>
            </w:r>
            <w:proofErr w:type="gramStart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.4 дополнен подвидами </w:t>
            </w:r>
            <w:r w:rsidR="005D5BA3"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деятельности: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"оказание бытовых услуг иными категориями налогоплательщиков и (или) другими категориями лиц", значение корректирующего коэффициента 1,0;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"оказание автотранспортных услуг иными категориями налогоплательщиков и (или) другими категориями лиц по перевозке грузов", значение корректирующего коэффициента 1,0;</w:t>
            </w:r>
          </w:p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- "оказание автотранспортных услуг иными категориями налогоплательщиков и (или) другими категориями лиц по перевозке пассажиров", значение корректирующего коэффициента 0,5.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lastRenderedPageBreak/>
        <w:t>7.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категорию налогоплательщиков и (или) лиц, которым оказываются соответствующие услуги, применяется при осуществлении видов предпринимательской деятельности, указанных в </w:t>
      </w:r>
      <w:hyperlink w:anchor="P2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9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автотранспортных услуг образовательными организациями (подвоз детей), имеющими лицензии на право образовательной деятельности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8.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2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  <w:vMerge w:val="restart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Уровень средней заработной платы наемных работников относительно величины прожиточного минимума, установленного для трудоспособного населения Курганской области, согласно действующему законодательству Курганской области </w:t>
            </w: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 соответствующий период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Значение фактора К</w:t>
            </w:r>
            <w:proofErr w:type="gramStart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</w:p>
        </w:tc>
      </w:tr>
      <w:tr w:rsidR="005D5BA3" w:rsidRPr="00EF0A05">
        <w:tc>
          <w:tcPr>
            <w:tcW w:w="5669" w:type="dxa"/>
            <w:vMerge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1 размера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 до 1,5 размеров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1,5 до 2 размеров включительно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2 размеров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0,65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8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96)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9.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.6 - фактор, учитывающий место осуществления деятельности и применяется при осуществлении видов предпринимательской деятельности, указанных в </w:t>
      </w:r>
      <w:hyperlink w:anchor="P2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пунктах 1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27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hyperlink w:anchor="P3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42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hyperlink w:anchor="P46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51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72"/>
      </w:tblGrid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1500 человек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1501 - 3000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5D5BA3" w:rsidRPr="00EF0A05">
        <w:tc>
          <w:tcPr>
            <w:tcW w:w="5669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5001 - 10000</w:t>
            </w:r>
          </w:p>
        </w:tc>
        <w:tc>
          <w:tcPr>
            <w:tcW w:w="1972" w:type="dxa"/>
          </w:tcPr>
          <w:p w:rsidR="005D5BA3" w:rsidRPr="00EF0A05" w:rsidRDefault="005D5BA3" w:rsidP="00EF0A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0A0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</w:tbl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10. Право на применение понижающих корректирующих коэффициентов и количество физических показателей подтверждается соответствующими документами. Документы, подтверждающие величину физического показателя и правильности определения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произвольной формы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11. Если нормативный акт о внесении изменений в действующие значения корректирующего коэффициента К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не принят до начала следующего календарного года и (или) не вступил в силу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12. </w:t>
      </w:r>
      <w:proofErr w:type="gramStart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Решения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24.10.2005 </w:t>
      </w:r>
      <w:hyperlink r:id="rId49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N 52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"О введении системы налогообложения в виде единого налога на вмененный доход для отдельных видов деятельности" и от 08.02.2006 </w:t>
      </w:r>
      <w:hyperlink r:id="rId50" w:history="1">
        <w:r w:rsidRPr="00EF0A05">
          <w:rPr>
            <w:rFonts w:ascii="Times New Roman" w:hAnsi="Times New Roman" w:cs="Times New Roman"/>
            <w:b w:val="0"/>
            <w:sz w:val="24"/>
            <w:szCs w:val="24"/>
          </w:rPr>
          <w:t>N 83</w:t>
        </w:r>
      </w:hyperlink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"О внесении изменений в Решение </w:t>
      </w:r>
      <w:proofErr w:type="spellStart"/>
      <w:r w:rsidRPr="00EF0A05">
        <w:rPr>
          <w:rFonts w:ascii="Times New Roman" w:hAnsi="Times New Roman" w:cs="Times New Roman"/>
          <w:b w:val="0"/>
          <w:sz w:val="24"/>
          <w:szCs w:val="24"/>
        </w:rPr>
        <w:t>Половинской</w:t>
      </w:r>
      <w:proofErr w:type="spellEnd"/>
      <w:r w:rsidRPr="00EF0A0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"О введении системы налогообложения в виде единого налога на вмененный доход для отдельных видов деятельности" с 01.01.2008 признать утратившими силу.</w:t>
      </w:r>
      <w:proofErr w:type="gramEnd"/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13. Опубликовать настоящее Решение в районной газете "Вестник района".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0A05">
        <w:rPr>
          <w:rFonts w:ascii="Times New Roman" w:hAnsi="Times New Roman" w:cs="Times New Roman"/>
          <w:b w:val="0"/>
          <w:sz w:val="24"/>
          <w:szCs w:val="24"/>
        </w:rPr>
        <w:t>14. Настоящее Решение вступает в силу с 1 января 2008 года.</w:t>
      </w:r>
    </w:p>
    <w:p w:rsidR="005D5BA3" w:rsidRPr="00EF0A05" w:rsidRDefault="005D5BA3" w:rsidP="00EF0A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4D74" w:rsidRPr="00230CE7" w:rsidRDefault="005D5BA3" w:rsidP="00324D74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230CE7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5D5BA3" w:rsidRPr="00230CE7" w:rsidRDefault="005D5BA3" w:rsidP="00324D74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230CE7">
        <w:rPr>
          <w:rFonts w:ascii="Times New Roman" w:hAnsi="Times New Roman" w:cs="Times New Roman"/>
          <w:b w:val="0"/>
          <w:i/>
          <w:sz w:val="24"/>
          <w:szCs w:val="24"/>
        </w:rPr>
        <w:t>Половинского</w:t>
      </w:r>
      <w:proofErr w:type="spellEnd"/>
      <w:r w:rsidRPr="00230CE7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5D5BA3" w:rsidRPr="00EF0A05" w:rsidRDefault="005D5BA3" w:rsidP="00A45A6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30CE7">
        <w:rPr>
          <w:rFonts w:ascii="Times New Roman" w:hAnsi="Times New Roman" w:cs="Times New Roman"/>
          <w:b w:val="0"/>
          <w:i/>
          <w:sz w:val="24"/>
          <w:szCs w:val="24"/>
        </w:rPr>
        <w:t>В.Ю.</w:t>
      </w:r>
      <w:r w:rsidR="001F4C4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30CE7">
        <w:rPr>
          <w:rFonts w:ascii="Times New Roman" w:hAnsi="Times New Roman" w:cs="Times New Roman"/>
          <w:b w:val="0"/>
          <w:i/>
          <w:sz w:val="24"/>
          <w:szCs w:val="24"/>
        </w:rPr>
        <w:t>К</w:t>
      </w:r>
      <w:r w:rsidR="00230CE7">
        <w:rPr>
          <w:rFonts w:ascii="Times New Roman" w:hAnsi="Times New Roman" w:cs="Times New Roman"/>
          <w:b w:val="0"/>
          <w:i/>
          <w:sz w:val="24"/>
          <w:szCs w:val="24"/>
        </w:rPr>
        <w:t>удрявцев</w:t>
      </w:r>
    </w:p>
    <w:p w:rsidR="00BD2806" w:rsidRDefault="00BD2806"/>
    <w:sectPr w:rsidR="00BD2806" w:rsidSect="00F0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A3"/>
    <w:rsid w:val="001F4C43"/>
    <w:rsid w:val="00230CE7"/>
    <w:rsid w:val="00324D74"/>
    <w:rsid w:val="005D5BA3"/>
    <w:rsid w:val="00A45A67"/>
    <w:rsid w:val="00BD2806"/>
    <w:rsid w:val="00D9286E"/>
    <w:rsid w:val="00EF0A05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CD22DB76D666761C7DF110402247324A1E46921182B0F6A27381D7CF28042E84668F7249B8823EE4BCB56EB075CC97C79A9062B1932C6F25B866y3f9K" TargetMode="External"/><Relationship Id="rId18" Type="http://schemas.openxmlformats.org/officeDocument/2006/relationships/hyperlink" Target="consultantplus://offline/ref=C2CD22DB76D666761C7DF110402247324A1E46921180BCF1A87381D7CF28042E84668F7249B8823EE4BCB56FB075CC97C79A9062B1932C6F25B866y3f9K" TargetMode="External"/><Relationship Id="rId26" Type="http://schemas.openxmlformats.org/officeDocument/2006/relationships/hyperlink" Target="consultantplus://offline/ref=C2CD22DB76D666761C7DF110402247324A1E4692118FB2F3AD7381D7CF28042E84668F7249B8823EE4BCB560B075CC97C79A9062B1932C6F25B866y3f9K" TargetMode="External"/><Relationship Id="rId39" Type="http://schemas.openxmlformats.org/officeDocument/2006/relationships/hyperlink" Target="consultantplus://offline/ref=C2CD22DB76D666761C7DF110402247324A1E4692118FB2F3AD7381D7CF28042E84668F7249B8823EE4BCB46CB075CC97C79A9062B1932C6F25B866y3f9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CD22DB76D666761C7DF110402247324A1E4692118FB2F3AD7381D7CF28042E84668F7249B8823EE4BCB56FB075CC97C79A9062B1932C6F25B866y3f9K" TargetMode="External"/><Relationship Id="rId34" Type="http://schemas.openxmlformats.org/officeDocument/2006/relationships/hyperlink" Target="consultantplus://offline/ref=C2CD22DB76D666761C7DF110402247324A1E46921182B7F6AA7381D7CF28042E84668F7249B8823EE4BCB56DB075CC97C79A9062B1932C6F25B866y3f9K" TargetMode="External"/><Relationship Id="rId42" Type="http://schemas.openxmlformats.org/officeDocument/2006/relationships/image" Target="media/image3.wmf"/><Relationship Id="rId47" Type="http://schemas.openxmlformats.org/officeDocument/2006/relationships/hyperlink" Target="consultantplus://offline/ref=C2CD22DB76D666761C7DF110402247324A1E4692148EB2FCAA7381D7CF28042E84668F7249B8823EE4BCB560B075CC97C79A9062B1932C6F25B866y3f9K" TargetMode="External"/><Relationship Id="rId50" Type="http://schemas.openxmlformats.org/officeDocument/2006/relationships/hyperlink" Target="consultantplus://offline/ref=C2CD22DB76D666761C7DF110402247324A1E46921C87B0F7A12E8BDF962406298B398A7558B8833DFABCBC76B9219CyDfAK" TargetMode="External"/><Relationship Id="rId7" Type="http://schemas.openxmlformats.org/officeDocument/2006/relationships/hyperlink" Target="consultantplus://offline/ref=C2CD22DB76D666761C7DF110402247324A1E4692118FB2F3AD7381D7CF28042E84668F7249B8823EE4BCB56DB075CC97C79A9062B1932C6F25B866y3f9K" TargetMode="External"/><Relationship Id="rId12" Type="http://schemas.openxmlformats.org/officeDocument/2006/relationships/hyperlink" Target="consultantplus://offline/ref=C2CD22DB76D666761C7DF110402247324A1E46921781BDF4AE7381D7CF28042E84668F7249B8823EE4BCB56EB075CC97C79A9062B1932C6F25B866y3f9K" TargetMode="External"/><Relationship Id="rId17" Type="http://schemas.openxmlformats.org/officeDocument/2006/relationships/hyperlink" Target="consultantplus://offline/ref=C2CD22DB76D666761C7DEF1D564E1B384A171A9C1785BEA3F62CDA8A98210E79D1298E3C0DB69D3EEDA2B768BAy2f8K" TargetMode="External"/><Relationship Id="rId25" Type="http://schemas.openxmlformats.org/officeDocument/2006/relationships/hyperlink" Target="consultantplus://offline/ref=C2CD22DB76D666761C7DF110402247324A1E4692118FB2F3AC7381D7CF28042E84668F7249B8823EE4BCB46AB075CC97C79A9062B1932C6F25B866y3f9K" TargetMode="External"/><Relationship Id="rId33" Type="http://schemas.openxmlformats.org/officeDocument/2006/relationships/hyperlink" Target="consultantplus://offline/ref=C2CD22DB76D666761C7DF110402247324A1E46921781BDF4AB7381D7CF28042E84668F6049E08E3EE7A2B561A5239DD2y9fBK" TargetMode="External"/><Relationship Id="rId38" Type="http://schemas.openxmlformats.org/officeDocument/2006/relationships/hyperlink" Target="consultantplus://offline/ref=C2CD22DB76D666761C7DF110402247324A1E4692118FB2F3AD7381D7CF28042E84668F7249B8823EE4BCB46BB075CC97C79A9062B1932C6F25B866y3f9K" TargetMode="External"/><Relationship Id="rId46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CD22DB76D666761C7DEF1D564E1B384A171A9C1685BEA3F62CDA8A98210E79D1298E3C0DB69D3EEDA2B768BAy2f8K" TargetMode="External"/><Relationship Id="rId20" Type="http://schemas.openxmlformats.org/officeDocument/2006/relationships/hyperlink" Target="consultantplus://offline/ref=C2CD22DB76D666761C7DF110402247324A1E4692118FB2F3AC7381D7CF28042E84668F7249B8823EE4BCB56FB075CC97C79A9062B1932C6F25B866y3f9K" TargetMode="External"/><Relationship Id="rId29" Type="http://schemas.openxmlformats.org/officeDocument/2006/relationships/hyperlink" Target="consultantplus://offline/ref=C2CD22DB76D666761C7DF110402247324A1E46921781BDF4AE7381D7CF28042E84668F7249B8823EE4BCB56EB075CC97C79A9062B1932C6F25B866y3f9K" TargetMode="Externa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2CD22DB76D666761C7DF110402247324A1E46921481B0F3AA7381D7CF28042E84668F7249B8823EE4BCB56DB075CC97C79A9062B1932C6F25B866y3f9K" TargetMode="External"/><Relationship Id="rId11" Type="http://schemas.openxmlformats.org/officeDocument/2006/relationships/hyperlink" Target="consultantplus://offline/ref=C2CD22DB76D666761C7DF110402247324A1E46921781BDF4AB7381D7CF28042E84668F7249B8823EE4BCB56DB075CC97C79A9062B1932C6F25B866y3f9K" TargetMode="External"/><Relationship Id="rId24" Type="http://schemas.openxmlformats.org/officeDocument/2006/relationships/hyperlink" Target="consultantplus://offline/ref=C2CD22DB76D666761C7DF110402247324A1E4692148EB2FCAA7381D7CF28042E84668F7249B8823EE4BCB56EB075CC97C79A9062B1932C6F25B866y3f9K" TargetMode="External"/><Relationship Id="rId32" Type="http://schemas.openxmlformats.org/officeDocument/2006/relationships/hyperlink" Target="consultantplus://offline/ref=C2CD22DB76D666761C7DF110402247324A1E46921182B0F6A27381D7CF28042E84668F7249B8823EE4BCB56EB075CC97C79A9062B1932C6F25B866y3f9K" TargetMode="External"/><Relationship Id="rId37" Type="http://schemas.openxmlformats.org/officeDocument/2006/relationships/hyperlink" Target="consultantplus://offline/ref=C2CD22DB76D666761C7DF110402247324A1E46921481B0F3AA7381D7CF28042E84668F7249B8823EE4BCB56FB075CC97C79A9062B1932C6F25B866y3f9K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6.wmf"/><Relationship Id="rId5" Type="http://schemas.openxmlformats.org/officeDocument/2006/relationships/hyperlink" Target="consultantplus://offline/ref=C2CD22DB76D666761C7DF110402247324A1E4692118FB2F3AC7381D7CF28042E84668F7249B8823EE4BCB56DB075CC97C79A9062B1932C6F25B866y3f9K" TargetMode="External"/><Relationship Id="rId15" Type="http://schemas.openxmlformats.org/officeDocument/2006/relationships/hyperlink" Target="consultantplus://offline/ref=C2CD22DB76D666761C7DF110402247324A1E46921083B3F4AE7381D7CF28042E84668F7249B8823EE4BEB568B075CC97C79A9062B1932C6F25B866y3f9K" TargetMode="External"/><Relationship Id="rId23" Type="http://schemas.openxmlformats.org/officeDocument/2006/relationships/hyperlink" Target="consultantplus://offline/ref=C2CD22DB76D666761C7DF110402247324A1E4692118FB2F3AC7381D7CF28042E84668F7249B8823EE4BCB468B075CC97C79A9062B1932C6F25B866y3f9K" TargetMode="External"/><Relationship Id="rId28" Type="http://schemas.openxmlformats.org/officeDocument/2006/relationships/hyperlink" Target="consultantplus://offline/ref=C2CD22DB76D666761C7DF110402247324A1E4692118FB2F3AC7381D7CF28042E84668F7249B8823EE4BCB46DB075CC97C79A9062B1932C6F25B866y3f9K" TargetMode="External"/><Relationship Id="rId36" Type="http://schemas.openxmlformats.org/officeDocument/2006/relationships/hyperlink" Target="consultantplus://offline/ref=C2CD22DB76D666761C7DF110402247324A1E4692118FB3F0AD7381D7CF28042E84668F7249B8823EE4BCB56EB075CC97C79A9062B1932C6F25B866y3f9K" TargetMode="External"/><Relationship Id="rId49" Type="http://schemas.openxmlformats.org/officeDocument/2006/relationships/hyperlink" Target="consultantplus://offline/ref=C2CD22DB76D666761C7DF110402247324A1E46921C86B4F5A12E8BDF962406298B398A7558B8833DFABCBC76B9219CyDfAK" TargetMode="External"/><Relationship Id="rId10" Type="http://schemas.openxmlformats.org/officeDocument/2006/relationships/hyperlink" Target="consultantplus://offline/ref=C2CD22DB76D666761C7DF110402247324A1E4692148EB2FCAA7381D7CF28042E84668F7249B8823EE4BCB56DB075CC97C79A9062B1932C6F25B866y3f9K" TargetMode="External"/><Relationship Id="rId19" Type="http://schemas.openxmlformats.org/officeDocument/2006/relationships/hyperlink" Target="consultantplus://offline/ref=C2CD22DB76D666761C7DF110402247324A1E4692118FB2F3AD7381D7CF28042E84668F7249B8823EE4BCB56FB075CC97C79A9062B1932C6F25B866y3f9K" TargetMode="External"/><Relationship Id="rId31" Type="http://schemas.openxmlformats.org/officeDocument/2006/relationships/hyperlink" Target="consultantplus://offline/ref=C2CD22DB76D666761C7DF110402247324A1E4692118FB2F3AD7381D7CF28042E84668F7249B8823EE4BCB469B075CC97C79A9062B1932C6F25B866y3f9K" TargetMode="External"/><Relationship Id="rId44" Type="http://schemas.openxmlformats.org/officeDocument/2006/relationships/image" Target="media/image5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CD22DB76D666761C7DF110402247324A1E4692118FB3F0AD7381D7CF28042E84668F7249B8823EE4BCB56DB075CC97C79A9062B1932C6F25B866y3f9K" TargetMode="External"/><Relationship Id="rId14" Type="http://schemas.openxmlformats.org/officeDocument/2006/relationships/hyperlink" Target="consultantplus://offline/ref=C2CD22DB76D666761C7DEF1D564E1B384A17109B1785BEA3F62CDA8A98210E79C329D6300BB58535B0EDF13DB6219ECD929E8E63AF92y2fCK" TargetMode="External"/><Relationship Id="rId22" Type="http://schemas.openxmlformats.org/officeDocument/2006/relationships/hyperlink" Target="consultantplus://offline/ref=C2CD22DB76D666761C7DF110402247324A1E4692118FB2F3AC7381D7CF28042E84668F7249B8823EE4BCB561B075CC97C79A9062B1932C6F25B866y3f9K" TargetMode="External"/><Relationship Id="rId27" Type="http://schemas.openxmlformats.org/officeDocument/2006/relationships/hyperlink" Target="consultantplus://offline/ref=C2CD22DB76D666761C7DF110402247324A1E4692118FB2F3AC7381D7CF28042E84668F7249B8823EE4BCB46CB075CC97C79A9062B1932C6F25B866y3f9K" TargetMode="External"/><Relationship Id="rId30" Type="http://schemas.openxmlformats.org/officeDocument/2006/relationships/hyperlink" Target="consultantplus://offline/ref=C2CD22DB76D666761C7DF110402247324A1E4692118FB2F3AD7381D7CF28042E84668F7249B8823EE4BCB469B075CC97C79A9062B1932C6F25B866y3f9K" TargetMode="External"/><Relationship Id="rId35" Type="http://schemas.openxmlformats.org/officeDocument/2006/relationships/hyperlink" Target="consultantplus://offline/ref=C2CD22DB76D666761C7DF110402247324A1E46921781BDF4AB7381D7CF28042E84668F7249B8823EE4BCB56EB075CC97C79A9062B1932C6F25B866y3f9K" TargetMode="External"/><Relationship Id="rId43" Type="http://schemas.openxmlformats.org/officeDocument/2006/relationships/image" Target="media/image4.wmf"/><Relationship Id="rId48" Type="http://schemas.openxmlformats.org/officeDocument/2006/relationships/hyperlink" Target="consultantplus://offline/ref=C2CD22DB76D666761C7DF110402247324A1E4692118FB3F0AD7381D7CF28042E84668F7249B8823EE4BCB56FB075CC97C79A9062B1932C6F25B866y3f9K" TargetMode="External"/><Relationship Id="rId8" Type="http://schemas.openxmlformats.org/officeDocument/2006/relationships/hyperlink" Target="consultantplus://offline/ref=C2CD22DB76D666761C7DF110402247324A1E46921180BCF1A87381D7CF28042E84668F7249B8823EE4BCB56DB075CC97C79A9062B1932C6F25B866y3f9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4767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12</cp:revision>
  <dcterms:created xsi:type="dcterms:W3CDTF">2019-09-03T10:31:00Z</dcterms:created>
  <dcterms:modified xsi:type="dcterms:W3CDTF">2019-09-03T10:37:00Z</dcterms:modified>
</cp:coreProperties>
</file>