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67" w:rsidRDefault="002D2E67" w:rsidP="00725C09">
      <w:pPr>
        <w:pStyle w:val="ConsPlusTitlePage"/>
      </w:pPr>
      <w:r>
        <w:br/>
      </w: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Шатровская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</w:t>
      </w: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Курганской области</w:t>
      </w:r>
    </w:p>
    <w:p w:rsidR="002D2E67" w:rsidRPr="00157082" w:rsidRDefault="002D2E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от 27 сентября 2007 г. №228</w:t>
      </w:r>
    </w:p>
    <w:p w:rsidR="002D2E67" w:rsidRPr="00157082" w:rsidRDefault="002D2E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о введении системы налогообложения</w:t>
      </w: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в виде единого налога на вмененный доход</w:t>
      </w:r>
    </w:p>
    <w:p w:rsidR="002D2E67" w:rsidRPr="00157082" w:rsidRDefault="00157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для отдельных видов деятельности</w:t>
      </w:r>
    </w:p>
    <w:p w:rsidR="002D2E67" w:rsidRPr="00157082" w:rsidRDefault="002D2E6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2E67" w:rsidRPr="001570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2E67" w:rsidRPr="00157082" w:rsidRDefault="002D2E67" w:rsidP="00117F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2D2E67" w:rsidRPr="00157082" w:rsidRDefault="002D2E67" w:rsidP="00117F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Шатровской</w:t>
            </w:r>
            <w:proofErr w:type="spell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2D2E67" w:rsidRPr="00157082" w:rsidRDefault="002D2E67" w:rsidP="00117F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25.10.2007 </w:t>
            </w:r>
            <w:hyperlink r:id="rId5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246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28.10.2008 </w:t>
            </w:r>
            <w:hyperlink r:id="rId6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340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11.11.2009 </w:t>
            </w:r>
            <w:hyperlink r:id="rId7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436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2D2E67" w:rsidRPr="00157082" w:rsidRDefault="002D2E67" w:rsidP="004211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24.10.2012 </w:t>
            </w:r>
            <w:hyperlink r:id="rId8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245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23.10.2013 </w:t>
            </w:r>
            <w:hyperlink r:id="rId9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311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26.04.2017 </w:t>
            </w:r>
            <w:hyperlink r:id="rId10" w:history="1">
              <w:r w:rsidR="0042110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bookmarkStart w:id="0" w:name="_GoBack"/>
              <w:bookmarkEnd w:id="0"/>
              <w:r w:rsidRPr="001570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132</w:t>
              </w:r>
            </w:hyperlink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2D2E67" w:rsidRPr="00157082" w:rsidRDefault="002D2E67" w:rsidP="00117F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</w:t>
      </w:r>
      <w:hyperlink r:id="rId1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Уставом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Шатровского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Шатровская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Шатровского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18"/>
      <w:bookmarkEnd w:id="1"/>
      <w:r w:rsidRPr="00157082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19"/>
      <w:bookmarkEnd w:id="2"/>
      <w:r w:rsidRPr="00157082">
        <w:rPr>
          <w:rFonts w:ascii="Times New Roman" w:hAnsi="Times New Roman" w:cs="Times New Roman"/>
          <w:b w:val="0"/>
          <w:sz w:val="24"/>
          <w:szCs w:val="24"/>
        </w:rPr>
        <w:t>1) оказание бытовых услуг;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1"/>
      <w:bookmarkEnd w:id="3"/>
      <w:r w:rsidRPr="00157082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3 в ред. </w:t>
      </w:r>
      <w:hyperlink r:id="rId1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24.10.2012 N 245)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3"/>
      <w:bookmarkEnd w:id="4"/>
      <w:r w:rsidRPr="00157082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4 в ред. </w:t>
      </w:r>
      <w:hyperlink r:id="rId1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24.10.2012 N 245)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8"/>
      <w:bookmarkEnd w:id="5"/>
      <w:r w:rsidRPr="00157082">
        <w:rPr>
          <w:rFonts w:ascii="Times New Roman" w:hAnsi="Times New Roman" w:cs="Times New Roman"/>
          <w:b w:val="0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9"/>
      <w:bookmarkEnd w:id="6"/>
      <w:r w:rsidRPr="00157082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объекты, нестационарной торговой сети: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5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31"/>
      <w:bookmarkEnd w:id="7"/>
      <w:r w:rsidRPr="00157082">
        <w:rPr>
          <w:rFonts w:ascii="Times New Roman" w:hAnsi="Times New Roman" w:cs="Times New Roman"/>
          <w:b w:val="0"/>
          <w:sz w:val="24"/>
          <w:szCs w:val="24"/>
        </w:rPr>
        <w:t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32"/>
      <w:bookmarkEnd w:id="8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б) розничная торговля, осуществляемая в объектах стационарной торговой сети, а также в </w:t>
      </w:r>
      <w:r w:rsidRPr="00157082">
        <w:rPr>
          <w:rFonts w:ascii="Times New Roman" w:hAnsi="Times New Roman" w:cs="Times New Roman"/>
          <w:b w:val="0"/>
          <w:sz w:val="24"/>
          <w:szCs w:val="24"/>
        </w:rPr>
        <w:lastRenderedPageBreak/>
        <w:t>объектах нестационарной торговой сети, площадь торгового места в которых превышает 5 квадратных метров;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4"/>
      <w:bookmarkEnd w:id="9"/>
      <w:r w:rsidRPr="00157082">
        <w:rPr>
          <w:rFonts w:ascii="Times New Roman" w:hAnsi="Times New Roman" w:cs="Times New Roman"/>
          <w:b w:val="0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6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6"/>
      <w:bookmarkEnd w:id="10"/>
      <w:r w:rsidRPr="00157082">
        <w:rPr>
          <w:rFonts w:ascii="Times New Roman" w:hAnsi="Times New Roman" w:cs="Times New Roman"/>
          <w:b w:val="0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7"/>
      <w:bookmarkEnd w:id="11"/>
      <w:r w:rsidRPr="00157082">
        <w:rPr>
          <w:rFonts w:ascii="Times New Roman" w:hAnsi="Times New Roman" w:cs="Times New Roman"/>
          <w:b w:val="0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17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9"/>
      <w:bookmarkEnd w:id="12"/>
      <w:r w:rsidRPr="00157082">
        <w:rPr>
          <w:rFonts w:ascii="Times New Roman" w:hAnsi="Times New Roman" w:cs="Times New Roman"/>
          <w:b w:val="0"/>
          <w:sz w:val="24"/>
          <w:szCs w:val="24"/>
        </w:rPr>
        <w:t>11) размещение рекламы на транспортных средствах;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1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41"/>
      <w:bookmarkEnd w:id="13"/>
      <w:r w:rsidRPr="00157082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42"/>
      <w:bookmarkEnd w:id="14"/>
      <w:r w:rsidRPr="00157082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залов обслуживания посетителей: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46"/>
      <w:bookmarkEnd w:id="15"/>
      <w:r w:rsidRPr="00157082">
        <w:rPr>
          <w:rFonts w:ascii="Times New Roman" w:hAnsi="Times New Roman" w:cs="Times New Roman"/>
          <w:b w:val="0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20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28.10.2008 N 340)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(влияние на результат) предпринимательской деятельности. Значения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49"/>
      <w:bookmarkEnd w:id="16"/>
      <w:r w:rsidRPr="00157082">
        <w:rPr>
          <w:rFonts w:ascii="Times New Roman" w:hAnsi="Times New Roman" w:cs="Times New Roman"/>
          <w:b w:val="0"/>
          <w:sz w:val="24"/>
          <w:szCs w:val="24"/>
        </w:rPr>
        <w:t>4. Установить с 01.01.2008 следующие факторы, используемые для определения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, и их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1)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.1,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всех видов предпринимательской деятельности, указанных в </w:t>
      </w:r>
      <w:hyperlink w:anchor="P1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25.10.2007 N 246)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Для розничной торговли в населенных пунктах с численностью населения не более 3000 человек корректирующий коэффициент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- 0,6.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lastRenderedPageBreak/>
        <w:t>- Для розничной торговли в населенных пунктах с численностью населения более 3000 человек значение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6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(группе) товаров;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(группе) товаров, объем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товаров, по которому предусмотрено наибольшее значение корректирующего коэффициента.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6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64"/>
            <w:bookmarkEnd w:id="17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 (кроме парикмахерских услуг, оказываемых в (через) салонах, салонах-люкс, студиях причесок, вне зависимости от права, на основании которого налогоплательщик использует места оказания услуг</w:t>
            </w:r>
            <w:proofErr w:type="gramEnd"/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ритуальных и обрядовых услуг (свадеб, крещений, панихид, поминаний и других) в культовых зданиях и сооружениях и на относящихся к ним территориях, в иных местах, предоставленных религиозным организациям для этих целей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0,60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услуг по пошиву и вязанию трикотажных изделий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0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корректирующего коэффициента принимается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 (мест).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Для оказания услуг по хранению автомототранспортных средств на платных стоянках значение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принимается равны 0,95.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24.10.2012 N 245)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Для распространения и (или) размещения наружной рекламы корректирующий коэффициент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8" w:name="P102"/>
            <w:bookmarkEnd w:id="18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2D2E67" w:rsidRPr="00157082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и (или) полиграфическая реклама:</w:t>
            </w:r>
          </w:p>
        </w:tc>
        <w:tc>
          <w:tcPr>
            <w:tcW w:w="2268" w:type="dxa"/>
            <w:tcBorders>
              <w:bottom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2E67" w:rsidRPr="00157082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268" w:type="dxa"/>
            <w:tcBorders>
              <w:top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2D2E67" w:rsidRPr="00157082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2E67" w:rsidRPr="00157082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непосредственными товаропроизводителями на щитах и иных стационарных технических средствах, которые находятся в их собственности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2D2E67" w:rsidRPr="00157082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</w:tcBorders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или многостороннем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- Для оказания ветеринарных услуг значение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26.04.2017 N 132)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- При осуществлении видов предпринимательской деятельности, указанных в </w:t>
      </w:r>
      <w:hyperlink w:anchor="P3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подпунктах 11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6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.1 применяется равным 1.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(абзац введен </w:t>
      </w:r>
      <w:hyperlink r:id="rId2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25.10.2007 N 246)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2)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площадь торгового зала (зала обслуживания посетителей), площадь стоянки, площадь нанесенного изображения или количество работников, включая индивидуального предпринимателя, применяется для видов предпринимательской деятельности, указанных в </w:t>
      </w:r>
      <w:hyperlink w:anchor="P1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10 пункта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9" w:name="P133"/>
      <w:bookmarkEnd w:id="19"/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включительно значение корректирующего коэффициента принимается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49.25pt;height:33.75pt" coordsize="" o:spt="100" adj="0,,0" path="" filled="f" stroked="f">
            <v:stroke joinstyle="miter"/>
            <v:imagedata r:id="rId25" o:title="base_23825_44420_32768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во </w:t>
      </w:r>
      <w:hyperlink w:anchor="P13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втором абзаце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торговой сети и более, ведут учет отдельно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объектов розничной торговли.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(абзац введен </w:t>
      </w:r>
      <w:hyperlink r:id="rId26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23.10.2013 N 311)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48.5pt;height:33.75pt" coordsize="" o:spt="100" adj="0,,0" path="" filled="f" stroked="f">
            <v:stroke joinstyle="miter"/>
            <v:imagedata r:id="rId27" o:title="base_23825_44420_32769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во </w:t>
      </w:r>
      <w:hyperlink w:anchor="P13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 xml:space="preserve">втором </w:t>
        </w:r>
        <w:r w:rsidRPr="00157082">
          <w:rPr>
            <w:rFonts w:ascii="Times New Roman" w:hAnsi="Times New Roman" w:cs="Times New Roman"/>
            <w:b w:val="0"/>
            <w:sz w:val="24"/>
            <w:szCs w:val="24"/>
          </w:rPr>
          <w:lastRenderedPageBreak/>
          <w:t>абзаце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принимается равным 1. При площади торгового зала (зала обслуживания посетителей) от 30 кв. м до 50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42.5pt;height:33.75pt" coordsize="" o:spt="100" adj="0,,0" path="" filled="f" stroked="f">
            <v:stroke joinstyle="miter"/>
            <v:imagedata r:id="rId28" o:title="base_23825_44420_32770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41.75pt;height:33.75pt" coordsize="" o:spt="100" adj="0,,0" path="" filled="f" stroked="f">
            <v:stroke joinstyle="miter"/>
            <v:imagedata r:id="rId29" o:title="base_23825_44420_32771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55.25pt;height:33.75pt" coordsize="" o:spt="100" adj="0,,0" path="" filled="f" stroked="f">
            <v:stroke joinstyle="miter"/>
            <v:imagedata r:id="rId30" o:title="base_23825_44420_32772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принимается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42.5pt;height:33.75pt" coordsize="" o:spt="100" adj="0,,0" path="" filled="f" stroked="f">
            <v:stroke joinstyle="miter"/>
            <v:imagedata r:id="rId31" o:title="base_23825_44420_32773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хранению автомототранспортных средств на платных стоянках при площади стоянки до 1000 кв. м включительно значение корректирующего коэффициента принимается 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стоянки более 1000 кв. м значение корректирующего коэффициента рассчитывается по формуле: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24.10.2012 N 245)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42110E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67.25pt;height:33.75pt" coordsize="" o:spt="100" adj="0,,0" path="" filled="f" stroked="f">
            <v:stroke joinstyle="miter"/>
            <v:imagedata r:id="rId33" o:title="base_23825_44420_32774"/>
            <v:formulas/>
            <v:path o:connecttype="segments"/>
          </v:shape>
        </w:pic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Для видов предпринимательской деятельности, указанных в </w:t>
      </w:r>
      <w:hyperlink w:anchor="P1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пунктах 1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3 статьи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корректирующий коэффициент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268"/>
      </w:tblGrid>
      <w:tr w:rsidR="002D2E67" w:rsidRPr="00157082">
        <w:tc>
          <w:tcPr>
            <w:tcW w:w="510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корректирующего </w:t>
            </w: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коэффициента К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2D2E67" w:rsidRPr="00157082">
        <w:tc>
          <w:tcPr>
            <w:tcW w:w="510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10 человек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2D2E67" w:rsidRPr="00157082">
        <w:tc>
          <w:tcPr>
            <w:tcW w:w="510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2D2E67" w:rsidRPr="00157082">
        <w:tc>
          <w:tcPr>
            <w:tcW w:w="510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2D2E67" w:rsidRPr="00157082">
        <w:tc>
          <w:tcPr>
            <w:tcW w:w="510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Для распространения и (или) размещения наружной рекламы корректирующий коэффициент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2D2E67" w:rsidRPr="00157082">
        <w:tc>
          <w:tcPr>
            <w:tcW w:w="680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268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3)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численность жителей населенного пункта, применяется для видов предпринимательской деятельности, указанных в </w:t>
      </w:r>
      <w:hyperlink w:anchor="P1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10 пункта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и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721"/>
      </w:tblGrid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населения, человек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301 - 1000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1001 - 2000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2001 - 3000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2D2E67" w:rsidRPr="00157082">
        <w:tc>
          <w:tcPr>
            <w:tcW w:w="4592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5000</w:t>
            </w:r>
          </w:p>
        </w:tc>
        <w:tc>
          <w:tcPr>
            <w:tcW w:w="2721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Численность жителей населенного пункта определяется по данным Госкомстата по состоянию на 1 число каждого нового года и доводится до налогоплательщиков посредством обнародования администрациями соответствующих муниципальных, образований не позднее 15.01. каждого нового года.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4)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право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(магазины, павильоны, киоски), применяется для вида </w:t>
      </w:r>
      <w:r w:rsidRPr="0015708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предпринимательской деятельности, указанного в </w:t>
      </w:r>
      <w:hyperlink w:anchor="P2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пункте 6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7а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7б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Корректирующий коэффициент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На праве аренды - 0,9.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5)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>.5 - фактор, применяющийся для оказания бытовых услуг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87"/>
      </w:tblGrid>
      <w:tr w:rsidR="002D2E67" w:rsidRPr="00157082">
        <w:tc>
          <w:tcPr>
            <w:tcW w:w="748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пенсионерам, инвалидам, малообеспеченным семьям, имеющим несовершеннолетних детей</w:t>
            </w:r>
          </w:p>
        </w:tc>
        <w:tc>
          <w:tcPr>
            <w:tcW w:w="1587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2D2E67" w:rsidRPr="00157082">
        <w:tc>
          <w:tcPr>
            <w:tcW w:w="7483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группы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587" w:type="dxa"/>
          </w:tcPr>
          <w:p w:rsidR="002D2E67" w:rsidRPr="00157082" w:rsidRDefault="002D2E67" w:rsidP="001570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082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6)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.6 - фактор,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18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имеет следующие значения: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менее величины прожиточного минимума, установленного Правительством Курганской области для трудоспособного населения за квартал, предшествующий налоговому периоду, - 1;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не менее величины прожиточного минимума, установленного Правительством Курганской области для трудоспособного населения за квартал, предшествующий налоговому периоду, - 0,95.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. 6 в ред. </w:t>
      </w:r>
      <w:hyperlink r:id="rId34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11.11.2009 N 436)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7.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15708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и расчет значения коэффициента К2 (а также значение факторов) произвольной формы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8. С момента вступления в силу настоящего Решения признать утратившим силу </w:t>
      </w:r>
      <w:hyperlink r:id="rId35" w:history="1">
        <w:r w:rsidRPr="00157082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7082">
        <w:rPr>
          <w:rFonts w:ascii="Times New Roman" w:hAnsi="Times New Roman" w:cs="Times New Roman"/>
          <w:b w:val="0"/>
          <w:sz w:val="24"/>
          <w:szCs w:val="24"/>
        </w:rPr>
        <w:t>Шатровской</w:t>
      </w:r>
      <w:proofErr w:type="spellEnd"/>
      <w:r w:rsidRPr="00157082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30.09.2005 N 50 "О введении системы налогообложения в виде единого налога на вмененный доход для отдельных видов деятельности".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9. Настоящее Решение вступает в силу с 1 января 2008 года, но не ранее чем по истечении месяца со дня его официального опубликования.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7082">
        <w:rPr>
          <w:rFonts w:ascii="Times New Roman" w:hAnsi="Times New Roman" w:cs="Times New Roman"/>
          <w:b w:val="0"/>
          <w:sz w:val="24"/>
          <w:szCs w:val="24"/>
        </w:rPr>
        <w:t>10. Решение опубликовать в районной газете "Сельская новь".</w:t>
      </w:r>
    </w:p>
    <w:p w:rsidR="002D2E67" w:rsidRPr="00157082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7082" w:rsidRPr="0089195C" w:rsidRDefault="002D2E67" w:rsidP="00157082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89195C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2D2E67" w:rsidRPr="0089195C" w:rsidRDefault="002D2E67" w:rsidP="00157082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89195C">
        <w:rPr>
          <w:rFonts w:ascii="Times New Roman" w:hAnsi="Times New Roman" w:cs="Times New Roman"/>
          <w:b w:val="0"/>
          <w:i/>
          <w:sz w:val="24"/>
          <w:szCs w:val="24"/>
        </w:rPr>
        <w:t>Шатровского</w:t>
      </w:r>
      <w:proofErr w:type="spellEnd"/>
      <w:r w:rsidRPr="0089195C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2D2E67" w:rsidRPr="0089195C" w:rsidRDefault="002D2E67" w:rsidP="00157082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89195C">
        <w:rPr>
          <w:rFonts w:ascii="Times New Roman" w:hAnsi="Times New Roman" w:cs="Times New Roman"/>
          <w:b w:val="0"/>
          <w:i/>
          <w:sz w:val="24"/>
          <w:szCs w:val="24"/>
        </w:rPr>
        <w:t>В.В.</w:t>
      </w:r>
      <w:r w:rsidR="0089195C" w:rsidRPr="0089195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89195C">
        <w:rPr>
          <w:rFonts w:ascii="Times New Roman" w:hAnsi="Times New Roman" w:cs="Times New Roman"/>
          <w:b w:val="0"/>
          <w:i/>
          <w:sz w:val="24"/>
          <w:szCs w:val="24"/>
        </w:rPr>
        <w:t>М</w:t>
      </w:r>
      <w:r w:rsidR="00157082" w:rsidRPr="0089195C">
        <w:rPr>
          <w:rFonts w:ascii="Times New Roman" w:hAnsi="Times New Roman" w:cs="Times New Roman"/>
          <w:b w:val="0"/>
          <w:i/>
          <w:sz w:val="24"/>
          <w:szCs w:val="24"/>
        </w:rPr>
        <w:t>енщиков</w:t>
      </w:r>
      <w:proofErr w:type="spellEnd"/>
    </w:p>
    <w:p w:rsidR="002D2E67" w:rsidRPr="0089195C" w:rsidRDefault="002D2E67" w:rsidP="00157082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0D40BC" w:rsidRDefault="000D40BC"/>
    <w:sectPr w:rsidR="000D40BC" w:rsidSect="00A6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67"/>
    <w:rsid w:val="000D40BC"/>
    <w:rsid w:val="00117FE4"/>
    <w:rsid w:val="00157082"/>
    <w:rsid w:val="002D2E67"/>
    <w:rsid w:val="0042110E"/>
    <w:rsid w:val="00725C09"/>
    <w:rsid w:val="0089195C"/>
    <w:rsid w:val="0094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D4FEB01DF658EE9DA93E5112A2C03E0D8AEFF71F1960153FE2AA5C824B7E326B5FB10C36737669726D37722413BBF5FDA0241043C0DDF5F4AD0V72AF" TargetMode="External"/><Relationship Id="rId13" Type="http://schemas.openxmlformats.org/officeDocument/2006/relationships/hyperlink" Target="consultantplus://offline/ref=C34D4FEB01DF658EE9DA93E5112A2C03E0D8AEFF71F1960153FE2AA5C824B7E326B5FB10C36737669726D37422413BBF5FDA0241043C0DDF5F4AD0V72AF" TargetMode="External"/><Relationship Id="rId18" Type="http://schemas.openxmlformats.org/officeDocument/2006/relationships/hyperlink" Target="consultantplus://offline/ref=C34D4FEB01DF658EE9DA93E5112A2C03E0D8AEFF72F0970753FE2AA5C824B7E326B5FB10C36737669726D27022413BBF5FDA0241043C0DDF5F4AD0V72AF" TargetMode="External"/><Relationship Id="rId26" Type="http://schemas.openxmlformats.org/officeDocument/2006/relationships/hyperlink" Target="consultantplus://offline/ref=C34D4FEB01DF658EE9DA93E5112A2C03E0D8AEFF71FD960F53FE2AA5C824B7E326B5FB10C36737669726D37422413BBF5FDA0241043C0DDF5F4AD0V72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4D4FEB01DF658EE9DA93E5112A2C03E0D8AEFF72F097075EFE2AA5C824B7E326B5FB10C36737669726D37422413BBF5FDA0241043C0DDF5F4AD0V72AF" TargetMode="External"/><Relationship Id="rId34" Type="http://schemas.openxmlformats.org/officeDocument/2006/relationships/hyperlink" Target="consultantplus://offline/ref=C34D4FEB01DF658EE9DA93E5112A2C03E0D8AEFF72F39B0452FE2AA5C824B7E326B5FB10C36737669726D37422413BBF5FDA0241043C0DDF5F4AD0V72AF" TargetMode="External"/><Relationship Id="rId7" Type="http://schemas.openxmlformats.org/officeDocument/2006/relationships/hyperlink" Target="consultantplus://offline/ref=C34D4FEB01DF658EE9DA93E5112A2C03E0D8AEFF72F39B0452FE2AA5C824B7E326B5FB10C36737669726D37722413BBF5FDA0241043C0DDF5F4AD0V72AF" TargetMode="External"/><Relationship Id="rId12" Type="http://schemas.openxmlformats.org/officeDocument/2006/relationships/hyperlink" Target="consultantplus://offline/ref=C34D4FEB01DF658EE9DA93E5112A2C03E0D8AEFF76F09A055EFE2AA5C824B7E326B5FB10C36737669726D37122413BBF5FDA0241043C0DDF5F4AD0V72AF" TargetMode="External"/><Relationship Id="rId17" Type="http://schemas.openxmlformats.org/officeDocument/2006/relationships/hyperlink" Target="consultantplus://offline/ref=C34D4FEB01DF658EE9DA93E5112A2C03E0D8AEFF72F0970753FE2AA5C824B7E326B5FB10C36737669726D27222413BBF5FDA0241043C0DDF5F4AD0V72AF" TargetMode="External"/><Relationship Id="rId25" Type="http://schemas.openxmlformats.org/officeDocument/2006/relationships/image" Target="media/image1.wmf"/><Relationship Id="rId33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4D4FEB01DF658EE9DA93E5112A2C03E0D8AEFF72F0970753FE2AA5C824B7E326B5FB10C36737669726D37B22413BBF5FDA0241043C0DDF5F4AD0V72AF" TargetMode="External"/><Relationship Id="rId20" Type="http://schemas.openxmlformats.org/officeDocument/2006/relationships/hyperlink" Target="consultantplus://offline/ref=C34D4FEB01DF658EE9DA93E5112A2C03E0D8AEFF72F0970753FE2AA5C824B7E326B5FB10C36737669726D27722413BBF5FDA0241043C0DDF5F4AD0V72AF" TargetMode="Externa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34D4FEB01DF658EE9DA93E5112A2C03E0D8AEFF72F0970753FE2AA5C824B7E326B5FB10C36737669726D37722413BBF5FDA0241043C0DDF5F4AD0V72AF" TargetMode="External"/><Relationship Id="rId11" Type="http://schemas.openxmlformats.org/officeDocument/2006/relationships/hyperlink" Target="consultantplus://offline/ref=C34D4FEB01DF658EE9DA8DE807467009E0D1F8F671F6955006A171F89F2DBDB461FAA252816A306DC377972724156EE50ADE1C471A3DV02DF" TargetMode="External"/><Relationship Id="rId24" Type="http://schemas.openxmlformats.org/officeDocument/2006/relationships/hyperlink" Target="consultantplus://offline/ref=C34D4FEB01DF658EE9DA93E5112A2C03E0D8AEFF72F097075EFE2AA5C824B7E326B5FB10C36737669726D37A22413BBF5FDA0241043C0DDF5F4AD0V72AF" TargetMode="External"/><Relationship Id="rId32" Type="http://schemas.openxmlformats.org/officeDocument/2006/relationships/hyperlink" Target="consultantplus://offline/ref=C34D4FEB01DF658EE9DA93E5112A2C03E0D8AEFF71F1960153FE2AA5C824B7E326B5FB10C36737669726D27322413BBF5FDA0241043C0DDF5F4AD0V72A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34D4FEB01DF658EE9DA93E5112A2C03E0D8AEFF72F097075EFE2AA5C824B7E326B5FB10C36737669726D37722413BBF5FDA0241043C0DDF5F4AD0V72AF" TargetMode="External"/><Relationship Id="rId15" Type="http://schemas.openxmlformats.org/officeDocument/2006/relationships/hyperlink" Target="consultantplus://offline/ref=C34D4FEB01DF658EE9DA93E5112A2C03E0D8AEFF72F0970753FE2AA5C824B7E326B5FB10C36737669726D37A22413BBF5FDA0241043C0DDF5F4AD0V72AF" TargetMode="External"/><Relationship Id="rId23" Type="http://schemas.openxmlformats.org/officeDocument/2006/relationships/hyperlink" Target="consultantplus://offline/ref=C34D4FEB01DF658EE9DA93E5112A2C03E0D8AEFF77F09E0E5BFE2AA5C824B7E326B5FB10C36737669726D37B22413BBF5FDA0241043C0DDF5F4AD0V72AF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34D4FEB01DF658EE9DA93E5112A2C03E0D8AEFF77F09E0E5BFE2AA5C824B7E326B5FB10C36737669726D37722413BBF5FDA0241043C0DDF5F4AD0V72AF" TargetMode="External"/><Relationship Id="rId19" Type="http://schemas.openxmlformats.org/officeDocument/2006/relationships/hyperlink" Target="consultantplus://offline/ref=C34D4FEB01DF658EE9DA93E5112A2C03E0D8AEFF72F0970753FE2AA5C824B7E326B5FB10C36737669726D27622413BBF5FDA0241043C0DDF5F4AD0V72AF" TargetMode="External"/><Relationship Id="rId31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4D4FEB01DF658EE9DA93E5112A2C03E0D8AEFF71FD960F53FE2AA5C824B7E326B5FB10C36737669726D37722413BBF5FDA0241043C0DDF5F4AD0V72AF" TargetMode="External"/><Relationship Id="rId14" Type="http://schemas.openxmlformats.org/officeDocument/2006/relationships/hyperlink" Target="consultantplus://offline/ref=C34D4FEB01DF658EE9DA93E5112A2C03E0D8AEFF71F1960153FE2AA5C824B7E326B5FB10C36737669726D37A22413BBF5FDA0241043C0DDF5F4AD0V72AF" TargetMode="External"/><Relationship Id="rId22" Type="http://schemas.openxmlformats.org/officeDocument/2006/relationships/hyperlink" Target="consultantplus://offline/ref=C34D4FEB01DF658EE9DA93E5112A2C03E0D8AEFF71F1960153FE2AA5C824B7E326B5FB10C36737669726D27222413BBF5FDA0241043C0DDF5F4AD0V72AF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5.wmf"/><Relationship Id="rId35" Type="http://schemas.openxmlformats.org/officeDocument/2006/relationships/hyperlink" Target="consultantplus://offline/ref=C34D4FEB01DF658EE9DA93E5112A2C03E0D8AEFF72F798045DFE2AA5C824B7E326B5FB02C33F3B669338D37B37176AFAV02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7</cp:revision>
  <dcterms:created xsi:type="dcterms:W3CDTF">2019-09-04T05:54:00Z</dcterms:created>
  <dcterms:modified xsi:type="dcterms:W3CDTF">2019-09-04T05:58:00Z</dcterms:modified>
</cp:coreProperties>
</file>