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72" w:rsidRPr="00C628C0" w:rsidRDefault="00845972" w:rsidP="00C628C0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>УТВЕРЖДЕН</w:t>
      </w:r>
      <w:r w:rsidR="00C628C0">
        <w:rPr>
          <w:rFonts w:ascii="Times New Roman" w:eastAsia="Times New Roman" w:hAnsi="Times New Roman" w:cs="Times New Roman"/>
          <w:lang w:eastAsia="ru-RU"/>
        </w:rPr>
        <w:t>О</w:t>
      </w:r>
    </w:p>
    <w:p w:rsidR="00845972" w:rsidRPr="00C628C0" w:rsidRDefault="00845972" w:rsidP="00C628C0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Приказом ИФНС России </w:t>
      </w:r>
    </w:p>
    <w:p w:rsidR="00845972" w:rsidRPr="00C628C0" w:rsidRDefault="00845972" w:rsidP="0084597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>по г. Кургану</w:t>
      </w:r>
    </w:p>
    <w:p w:rsidR="00845972" w:rsidRPr="00C628C0" w:rsidRDefault="00E56959" w:rsidP="0084597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>от  09.01.2020 № 02-04/1</w:t>
      </w:r>
    </w:p>
    <w:p w:rsidR="00845972" w:rsidRPr="00C628C0" w:rsidRDefault="00845972" w:rsidP="0084597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45972" w:rsidRPr="00C628C0" w:rsidRDefault="00845972" w:rsidP="0084597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845972" w:rsidRPr="00C628C0" w:rsidRDefault="007D27C8" w:rsidP="0084597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  <w:bookmarkStart w:id="1" w:name="_docStart_2"/>
      <w:bookmarkStart w:id="2" w:name="_title_2"/>
      <w:bookmarkStart w:id="3" w:name="_ref_1-7e103fc1367240"/>
      <w:bookmarkEnd w:id="1"/>
      <w:r w:rsidRPr="00C628C0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 xml:space="preserve">Учетная политика </w:t>
      </w:r>
      <w:r w:rsidR="00845972" w:rsidRPr="00C628C0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для целей бюджетного учета</w:t>
      </w:r>
      <w:bookmarkEnd w:id="2"/>
      <w:bookmarkEnd w:id="3"/>
    </w:p>
    <w:p w:rsidR="007D27C8" w:rsidRPr="00C628C0" w:rsidRDefault="007D27C8" w:rsidP="00C628C0">
      <w:pPr>
        <w:keepNext/>
        <w:keepLines/>
        <w:spacing w:before="120" w:after="300" w:line="240" w:lineRule="auto"/>
        <w:contextualSpacing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</w:p>
    <w:p w:rsidR="00845972" w:rsidRPr="00C628C0" w:rsidRDefault="00F57FB4" w:rsidP="00845972">
      <w:pPr>
        <w:numPr>
          <w:ilvl w:val="1"/>
          <w:numId w:val="0"/>
        </w:numPr>
        <w:spacing w:after="0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1.1. </w:t>
      </w:r>
      <w:bookmarkStart w:id="4" w:name="_ref_1-c8082797e1ee4d"/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Настоящая Учетная политика разработана в соответствии с требованиями следующих документов:</w:t>
      </w:r>
      <w:bookmarkEnd w:id="4"/>
    </w:p>
    <w:p w:rsidR="00845972" w:rsidRPr="00C628C0" w:rsidRDefault="00845972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Федеральный </w:t>
      </w:r>
      <w:hyperlink r:id="rId7" w:history="1">
        <w:r w:rsidRPr="00C628C0">
          <w:rPr>
            <w:rFonts w:ascii="Times New Roman" w:eastAsia="Times New Roman" w:hAnsi="Times New Roman" w:cs="Times New Roman"/>
            <w:lang w:eastAsia="ru-RU"/>
          </w:rPr>
          <w:t>закон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от 06.12.2011 № 402-ФЗ "О бухгалтерском учете" (далее - Закон № 402-ФЗ);</w:t>
      </w:r>
    </w:p>
    <w:p w:rsidR="00845972" w:rsidRPr="00C628C0" w:rsidRDefault="00845972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Федеральный </w:t>
      </w:r>
      <w:hyperlink r:id="rId8" w:history="1">
        <w:r w:rsidRPr="00C628C0">
          <w:rPr>
            <w:rFonts w:ascii="Times New Roman" w:eastAsia="Times New Roman" w:hAnsi="Times New Roman" w:cs="Times New Roman"/>
            <w:lang w:eastAsia="ru-RU"/>
          </w:rPr>
          <w:t>стандарт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- </w:t>
      </w:r>
      <w:hyperlink r:id="rId9" w:history="1">
        <w:r w:rsidRPr="00C628C0">
          <w:rPr>
            <w:rFonts w:ascii="Times New Roman" w:eastAsia="Times New Roman" w:hAnsi="Times New Roman" w:cs="Times New Roman"/>
            <w:lang w:eastAsia="ru-RU"/>
          </w:rPr>
          <w:t>СГС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"Концептуальные основы");</w:t>
      </w:r>
    </w:p>
    <w:p w:rsidR="00845972" w:rsidRPr="00C628C0" w:rsidRDefault="00C628C0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0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Инструкция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по применению Плана счетов бюджетного учета, утвержденная Приказом Минфина России от 06.12.2010 № 162н (далее - </w:t>
      </w:r>
      <w:hyperlink r:id="rId11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Инструкция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№ 162н);</w:t>
      </w:r>
    </w:p>
    <w:p w:rsidR="00845972" w:rsidRPr="00C628C0" w:rsidRDefault="00C628C0" w:rsidP="000D5236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2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Приказ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Минфина России от 30.03.2015 № 52н "Об утверждении форм первичных учетных документов и регистров бухгалтерск</w:t>
      </w:r>
      <w:r w:rsidR="007A4DF1" w:rsidRPr="00C628C0">
        <w:rPr>
          <w:rFonts w:ascii="Times New Roman" w:eastAsia="Times New Roman" w:hAnsi="Times New Roman" w:cs="Times New Roman"/>
          <w:lang w:eastAsia="ru-RU"/>
        </w:rPr>
        <w:t xml:space="preserve">ого учета, применяемых органам </w:t>
      </w:r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</w:t>
      </w:r>
      <w:hyperlink r:id="rId13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Приказ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Минфина России № 52н);</w:t>
      </w:r>
    </w:p>
    <w:p w:rsidR="00845972" w:rsidRPr="00C628C0" w:rsidRDefault="00845972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Методические </w:t>
      </w:r>
      <w:hyperlink r:id="rId14" w:history="1">
        <w:r w:rsidRPr="00C628C0">
          <w:rPr>
            <w:rFonts w:ascii="Times New Roman" w:eastAsia="Times New Roman" w:hAnsi="Times New Roman" w:cs="Times New Roman"/>
            <w:lang w:eastAsia="ru-RU"/>
          </w:rPr>
          <w:t>указания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(Приложение № 5 к Приказу Минфина России от 30.03.2015 № 52н) (далее - Методические </w:t>
      </w:r>
      <w:hyperlink r:id="rId15" w:history="1">
        <w:r w:rsidRPr="00C628C0">
          <w:rPr>
            <w:rFonts w:ascii="Times New Roman" w:eastAsia="Times New Roman" w:hAnsi="Times New Roman" w:cs="Times New Roman"/>
            <w:lang w:eastAsia="ru-RU"/>
          </w:rPr>
          <w:t>указания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№ 52н);</w:t>
      </w:r>
    </w:p>
    <w:p w:rsidR="00845972" w:rsidRPr="00C628C0" w:rsidRDefault="00C628C0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6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Указание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</w:t>
      </w:r>
      <w:hyperlink r:id="rId17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Указание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№ 3210-У);</w:t>
      </w:r>
    </w:p>
    <w:p w:rsidR="00845972" w:rsidRPr="00C628C0" w:rsidRDefault="00845972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Методические </w:t>
      </w:r>
      <w:hyperlink r:id="rId18" w:history="1">
        <w:r w:rsidRPr="00C628C0">
          <w:rPr>
            <w:rFonts w:ascii="Times New Roman" w:eastAsia="Times New Roman" w:hAnsi="Times New Roman" w:cs="Times New Roman"/>
            <w:lang w:eastAsia="ru-RU"/>
          </w:rPr>
          <w:t>указания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по инвентаризации имущества и финансовых обязательств, утвержденные Приказом Минфина России от 13.06.1995 № 49 (далее - Методические </w:t>
      </w:r>
      <w:hyperlink r:id="rId19" w:history="1">
        <w:r w:rsidRPr="00C628C0">
          <w:rPr>
            <w:rFonts w:ascii="Times New Roman" w:eastAsia="Times New Roman" w:hAnsi="Times New Roman" w:cs="Times New Roman"/>
            <w:lang w:eastAsia="ru-RU"/>
          </w:rPr>
          <w:t>указания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№ 49);</w:t>
      </w:r>
    </w:p>
    <w:p w:rsidR="00845972" w:rsidRPr="00C628C0" w:rsidRDefault="00845972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Методические </w:t>
      </w:r>
      <w:hyperlink r:id="rId20" w:history="1">
        <w:r w:rsidRPr="00C628C0">
          <w:rPr>
            <w:rFonts w:ascii="Times New Roman" w:eastAsia="Times New Roman" w:hAnsi="Times New Roman" w:cs="Times New Roman"/>
            <w:lang w:eastAsia="ru-RU"/>
          </w:rPr>
          <w:t>рекомендации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№ АМ-23-р (далее - Методические </w:t>
      </w:r>
      <w:hyperlink r:id="rId21" w:history="1">
        <w:r w:rsidRPr="00C628C0">
          <w:rPr>
            <w:rFonts w:ascii="Times New Roman" w:eastAsia="Times New Roman" w:hAnsi="Times New Roman" w:cs="Times New Roman"/>
            <w:lang w:eastAsia="ru-RU"/>
          </w:rPr>
          <w:t>рекомендации</w:t>
        </w:r>
      </w:hyperlink>
      <w:r w:rsidRPr="00C628C0">
        <w:rPr>
          <w:rFonts w:ascii="Times New Roman" w:eastAsia="Times New Roman" w:hAnsi="Times New Roman" w:cs="Times New Roman"/>
          <w:lang w:eastAsia="ru-RU"/>
        </w:rPr>
        <w:t xml:space="preserve"> № АМ-23-р);</w:t>
      </w:r>
    </w:p>
    <w:p w:rsidR="00845972" w:rsidRPr="00C628C0" w:rsidRDefault="00C628C0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22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Приказ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Минфина России от 09.12.2016 №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(далее - </w:t>
      </w:r>
      <w:hyperlink r:id="rId23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Приказ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Минфина России № 231н);</w:t>
      </w:r>
    </w:p>
    <w:p w:rsidR="00845972" w:rsidRPr="00C628C0" w:rsidRDefault="00C628C0" w:rsidP="00845972">
      <w:pPr>
        <w:numPr>
          <w:ilvl w:val="1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24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Порядок</w:t>
        </w:r>
      </w:hyperlink>
      <w:r w:rsidR="00845972" w:rsidRPr="00C628C0">
        <w:rPr>
          <w:rFonts w:ascii="Times New Roman" w:eastAsia="Times New Roman" w:hAnsi="Times New Roman" w:cs="Times New Roman"/>
          <w:lang w:eastAsia="ru-RU"/>
        </w:rPr>
        <w:t xml:space="preserve"> формирования и применения кодов бюджетной классификации Российской Федерации, утвержденный Приказом Минфина России от 08.06.2018 № 132н (далее - </w:t>
      </w:r>
      <w:hyperlink r:id="rId25" w:history="1">
        <w:r w:rsidR="00845972" w:rsidRPr="00C628C0">
          <w:rPr>
            <w:rFonts w:ascii="Times New Roman" w:eastAsia="Times New Roman" w:hAnsi="Times New Roman" w:cs="Times New Roman"/>
            <w:lang w:eastAsia="ru-RU"/>
          </w:rPr>
          <w:t>Порядок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№ 132н).</w:t>
      </w:r>
    </w:p>
    <w:p w:rsidR="00C628C0" w:rsidRPr="00C628C0" w:rsidRDefault="00C628C0" w:rsidP="00C628C0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</w:p>
    <w:p w:rsidR="00C628C0" w:rsidRPr="00C628C0" w:rsidRDefault="00C628C0" w:rsidP="00C628C0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</w:p>
    <w:p w:rsidR="00F57FB4" w:rsidRPr="00C628C0" w:rsidRDefault="00C628C0" w:rsidP="00C628C0">
      <w:pPr>
        <w:keepNext/>
        <w:keepLines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5" w:name="_ref_1-e72ca710d79345"/>
      <w:r w:rsidRPr="00C628C0">
        <w:rPr>
          <w:rFonts w:ascii="Times New Roman" w:eastAsia="Times New Roman" w:hAnsi="Times New Roman" w:cs="Times New Roman"/>
          <w:bCs/>
          <w:lang w:eastAsia="ru-RU"/>
        </w:rPr>
        <w:t>Организационные положения</w:t>
      </w:r>
      <w:bookmarkEnd w:id="5"/>
    </w:p>
    <w:p w:rsidR="00902CBB" w:rsidRPr="00C628C0" w:rsidRDefault="00902CBB" w:rsidP="00C628C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2. </w:t>
      </w:r>
      <w:bookmarkStart w:id="6" w:name="_ref_1-613492489f3f47"/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Основные средства</w:t>
      </w:r>
      <w:bookmarkEnd w:id="6"/>
    </w:p>
    <w:p w:rsidR="00815C14" w:rsidRPr="00C628C0" w:rsidRDefault="00815C14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1-d830688800d04f"/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Нематериальные активы</w:t>
      </w:r>
      <w:bookmarkStart w:id="8" w:name="_ref_1-391058b4711746"/>
      <w:bookmarkEnd w:id="7"/>
    </w:p>
    <w:p w:rsidR="00815C14" w:rsidRPr="00C628C0" w:rsidRDefault="00815C14" w:rsidP="00C628C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Непроизведенные активы</w:t>
      </w:r>
      <w:bookmarkEnd w:id="8"/>
    </w:p>
    <w:p w:rsidR="00815C14" w:rsidRPr="00C628C0" w:rsidRDefault="00815C14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1-50a121e1b3244d"/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Материальные запасы</w:t>
      </w:r>
      <w:bookmarkEnd w:id="9"/>
    </w:p>
    <w:p w:rsidR="00815C14" w:rsidRPr="00C628C0" w:rsidRDefault="00815C14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1-c612af5079154e"/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Денежные средства, денежные эквиваленты и денежные документы</w:t>
      </w:r>
      <w:bookmarkStart w:id="11" w:name="_ref_1-8fd5a8c2a3d04f"/>
      <w:bookmarkEnd w:id="10"/>
    </w:p>
    <w:p w:rsidR="00C00761" w:rsidRPr="00C628C0" w:rsidRDefault="00815C14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7.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Расчеты с дебиторами и кредиторами</w:t>
      </w:r>
      <w:bookmarkStart w:id="12" w:name="_ref_1-f8de209f15c34c"/>
      <w:bookmarkEnd w:id="11"/>
    </w:p>
    <w:p w:rsidR="00C00761" w:rsidRPr="00C628C0" w:rsidRDefault="00C00761" w:rsidP="00C628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8.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Финансовый результат</w:t>
      </w:r>
      <w:bookmarkStart w:id="13" w:name="_ref_1-74b24bac06b84f"/>
      <w:bookmarkEnd w:id="12"/>
    </w:p>
    <w:p w:rsidR="00D95265" w:rsidRPr="00C628C0" w:rsidRDefault="00C00761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9.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Санкционирование расходов</w:t>
      </w:r>
      <w:bookmarkStart w:id="14" w:name="_ref_1-cd5bee3996f042"/>
      <w:bookmarkEnd w:id="13"/>
    </w:p>
    <w:p w:rsidR="000D5236" w:rsidRPr="00C628C0" w:rsidRDefault="00D95265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10.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Обесценение активов</w:t>
      </w:r>
      <w:bookmarkStart w:id="15" w:name="_ref_1-8c74398a4b8742"/>
      <w:bookmarkEnd w:id="14"/>
    </w:p>
    <w:p w:rsidR="00845972" w:rsidRPr="00C628C0" w:rsidRDefault="000D5236" w:rsidP="00C628C0">
      <w:pPr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bCs/>
          <w:lang w:eastAsia="ru-RU"/>
        </w:rPr>
        <w:t xml:space="preserve">11. </w:t>
      </w:r>
      <w:proofErr w:type="spellStart"/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Забалансовый</w:t>
      </w:r>
      <w:proofErr w:type="spellEnd"/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 xml:space="preserve"> учет</w:t>
      </w:r>
      <w:bookmarkEnd w:id="15"/>
    </w:p>
    <w:p w:rsidR="000D5236" w:rsidRPr="00C628C0" w:rsidRDefault="000D5236" w:rsidP="00C628C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12.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Бюджетная отчетность</w:t>
      </w:r>
    </w:p>
    <w:p w:rsidR="00845972" w:rsidRPr="00C628C0" w:rsidRDefault="000D5236" w:rsidP="00C628C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628C0">
        <w:rPr>
          <w:rFonts w:ascii="Times New Roman" w:eastAsia="Times New Roman" w:hAnsi="Times New Roman" w:cs="Times New Roman"/>
          <w:lang w:eastAsia="ru-RU"/>
        </w:rPr>
        <w:t xml:space="preserve">13. </w:t>
      </w:r>
      <w:r w:rsidR="00845972" w:rsidRPr="00C628C0">
        <w:rPr>
          <w:rFonts w:ascii="Times New Roman" w:eastAsia="Times New Roman" w:hAnsi="Times New Roman" w:cs="Times New Roman"/>
          <w:bCs/>
          <w:lang w:eastAsia="ru-RU"/>
        </w:rPr>
        <w:t>Изменения и дополнения учетной политики</w:t>
      </w:r>
    </w:p>
    <w:p w:rsidR="004F483F" w:rsidRPr="00C628C0" w:rsidRDefault="004F483F" w:rsidP="00C628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4F483F" w:rsidRPr="00C628C0" w:rsidSect="00C628C0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11F642EC"/>
    <w:multiLevelType w:val="multilevel"/>
    <w:tmpl w:val="CB6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57F0A"/>
    <w:multiLevelType w:val="multilevel"/>
    <w:tmpl w:val="EB0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5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0A"/>
    <w:rsid w:val="000A70B4"/>
    <w:rsid w:val="000D5236"/>
    <w:rsid w:val="004F483F"/>
    <w:rsid w:val="006F0086"/>
    <w:rsid w:val="00794A0A"/>
    <w:rsid w:val="007A4DF1"/>
    <w:rsid w:val="007D27C8"/>
    <w:rsid w:val="00815C14"/>
    <w:rsid w:val="00845972"/>
    <w:rsid w:val="00852E4D"/>
    <w:rsid w:val="00902CBB"/>
    <w:rsid w:val="00A61D89"/>
    <w:rsid w:val="00B45861"/>
    <w:rsid w:val="00C00761"/>
    <w:rsid w:val="00C628C0"/>
    <w:rsid w:val="00C912A3"/>
    <w:rsid w:val="00D95265"/>
    <w:rsid w:val="00E56959"/>
    <w:rsid w:val="00F57FB4"/>
    <w:rsid w:val="00F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4D"/>
  </w:style>
  <w:style w:type="paragraph" w:styleId="1">
    <w:name w:val="heading 1"/>
    <w:basedOn w:val="a"/>
    <w:next w:val="a"/>
    <w:link w:val="10"/>
    <w:uiPriority w:val="9"/>
    <w:qFormat/>
    <w:rsid w:val="00845972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45972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45972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45972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45972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45972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45972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45972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45972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97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97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597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597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4597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4597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4597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4597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4597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5972"/>
  </w:style>
  <w:style w:type="paragraph" w:customStyle="1" w:styleId="Normalunindented">
    <w:name w:val="Normal unindented"/>
    <w:aliases w:val="Обычный Без отступа"/>
    <w:qFormat/>
    <w:rsid w:val="00845972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845972"/>
    <w:pPr>
      <w:keepNext/>
      <w:keepLine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845972"/>
    <w:pPr>
      <w:numPr>
        <w:numId w:val="2"/>
      </w:num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845972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845972"/>
    <w:pPr>
      <w:numPr>
        <w:ilvl w:val="1"/>
        <w:numId w:val="2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845972"/>
    <w:pPr>
      <w:numPr>
        <w:ilvl w:val="2"/>
        <w:numId w:val="2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845972"/>
    <w:pPr>
      <w:numPr>
        <w:ilvl w:val="3"/>
        <w:numId w:val="2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845972"/>
    <w:pPr>
      <w:numPr>
        <w:ilvl w:val="4"/>
        <w:numId w:val="2"/>
      </w:numPr>
      <w:spacing w:before="120" w:after="12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845972"/>
    <w:pPr>
      <w:numPr>
        <w:ilvl w:val="5"/>
        <w:numId w:val="2"/>
      </w:numPr>
      <w:spacing w:before="120" w:after="120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845972"/>
    <w:pPr>
      <w:numPr>
        <w:ilvl w:val="6"/>
        <w:numId w:val="2"/>
      </w:numPr>
      <w:spacing w:before="120" w:after="120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845972"/>
    <w:pPr>
      <w:numPr>
        <w:ilvl w:val="7"/>
        <w:numId w:val="2"/>
      </w:numPr>
      <w:spacing w:before="120" w:after="120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845972"/>
    <w:pPr>
      <w:numPr>
        <w:ilvl w:val="8"/>
        <w:numId w:val="2"/>
      </w:numPr>
      <w:spacing w:before="120" w:after="120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styleId="a3">
    <w:name w:val="caption"/>
    <w:basedOn w:val="a"/>
    <w:next w:val="a"/>
    <w:uiPriority w:val="35"/>
    <w:qFormat/>
    <w:rsid w:val="00845972"/>
    <w:pPr>
      <w:spacing w:before="120" w:after="120" w:line="240" w:lineRule="auto"/>
      <w:ind w:firstLine="48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845972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845972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45972"/>
    <w:pPr>
      <w:numPr>
        <w:ilvl w:val="1"/>
      </w:numPr>
      <w:spacing w:before="120" w:after="120"/>
      <w:ind w:firstLine="482"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45972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45972"/>
    <w:rPr>
      <w:b/>
      <w:bCs/>
    </w:rPr>
  </w:style>
  <w:style w:type="character" w:styleId="a9">
    <w:name w:val="Emphasis"/>
    <w:basedOn w:val="a0"/>
    <w:uiPriority w:val="20"/>
    <w:qFormat/>
    <w:rsid w:val="00845972"/>
    <w:rPr>
      <w:i/>
      <w:iCs/>
    </w:rPr>
  </w:style>
  <w:style w:type="paragraph" w:styleId="aa">
    <w:name w:val="No Spacing"/>
    <w:uiPriority w:val="1"/>
    <w:qFormat/>
    <w:rsid w:val="0084597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845972"/>
    <w:pPr>
      <w:spacing w:before="120" w:after="120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45972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45972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845972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FF3F1F"/>
      <w:lang w:eastAsia="ru-RU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845972"/>
    <w:rPr>
      <w:rFonts w:ascii="Times New Roman" w:eastAsia="Times New Roman" w:hAnsi="Times New Roman" w:cs="Times New Roman"/>
      <w:i/>
      <w:iCs/>
      <w:color w:val="FF3F1F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845972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paragraph" w:customStyle="1" w:styleId="QuoteMargin">
    <w:name w:val="QuoteMargin"/>
    <w:aliases w:val="Предупреждение Отступ"/>
    <w:qFormat/>
    <w:rsid w:val="00845972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845972"/>
    <w:pPr>
      <w:pBdr>
        <w:bottom w:val="single" w:sz="4" w:space="4" w:color="4F81BD"/>
      </w:pBdr>
      <w:spacing w:before="200" w:after="0"/>
      <w:ind w:left="936" w:right="936" w:firstLine="482"/>
      <w:jc w:val="both"/>
    </w:pPr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845972"/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styleId="ae">
    <w:name w:val="Subtle Emphasis"/>
    <w:basedOn w:val="a0"/>
    <w:uiPriority w:val="19"/>
    <w:qFormat/>
    <w:rsid w:val="00845972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845972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845972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845972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8459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845972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845972"/>
    <w:pPr>
      <w:spacing w:before="120"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845972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845972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8459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845972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845972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a">
    <w:name w:val="footnote reference"/>
    <w:basedOn w:val="a0"/>
    <w:rsid w:val="00845972"/>
    <w:rPr>
      <w:vertAlign w:val="superscript"/>
    </w:rPr>
  </w:style>
  <w:style w:type="paragraph" w:styleId="afb">
    <w:name w:val="footnote text"/>
    <w:basedOn w:val="a"/>
    <w:link w:val="12"/>
    <w:rsid w:val="00845972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b"/>
    <w:rsid w:val="00845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845972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845972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845972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845972"/>
    <w:pPr>
      <w:spacing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84597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45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4D"/>
  </w:style>
  <w:style w:type="paragraph" w:styleId="1">
    <w:name w:val="heading 1"/>
    <w:basedOn w:val="a"/>
    <w:next w:val="a"/>
    <w:link w:val="10"/>
    <w:uiPriority w:val="9"/>
    <w:qFormat/>
    <w:rsid w:val="00845972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45972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45972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45972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45972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45972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45972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45972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45972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97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97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597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597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4597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4597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4597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4597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4597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5972"/>
  </w:style>
  <w:style w:type="paragraph" w:customStyle="1" w:styleId="Normalunindented">
    <w:name w:val="Normal unindented"/>
    <w:aliases w:val="Обычный Без отступа"/>
    <w:qFormat/>
    <w:rsid w:val="00845972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845972"/>
    <w:pPr>
      <w:keepNext/>
      <w:keepLine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845972"/>
    <w:pPr>
      <w:numPr>
        <w:numId w:val="2"/>
      </w:num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845972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845972"/>
    <w:pPr>
      <w:numPr>
        <w:ilvl w:val="1"/>
        <w:numId w:val="2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845972"/>
    <w:pPr>
      <w:numPr>
        <w:ilvl w:val="2"/>
        <w:numId w:val="2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845972"/>
    <w:pPr>
      <w:numPr>
        <w:ilvl w:val="3"/>
        <w:numId w:val="2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845972"/>
    <w:pPr>
      <w:numPr>
        <w:ilvl w:val="4"/>
        <w:numId w:val="2"/>
      </w:numPr>
      <w:spacing w:before="120" w:after="12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845972"/>
    <w:pPr>
      <w:numPr>
        <w:ilvl w:val="5"/>
        <w:numId w:val="2"/>
      </w:numPr>
      <w:spacing w:before="120" w:after="120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845972"/>
    <w:pPr>
      <w:numPr>
        <w:ilvl w:val="6"/>
        <w:numId w:val="2"/>
      </w:numPr>
      <w:spacing w:before="120" w:after="120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845972"/>
    <w:pPr>
      <w:numPr>
        <w:ilvl w:val="7"/>
        <w:numId w:val="2"/>
      </w:numPr>
      <w:spacing w:before="120" w:after="120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845972"/>
    <w:pPr>
      <w:numPr>
        <w:ilvl w:val="8"/>
        <w:numId w:val="2"/>
      </w:numPr>
      <w:spacing w:before="120" w:after="120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styleId="a3">
    <w:name w:val="caption"/>
    <w:basedOn w:val="a"/>
    <w:next w:val="a"/>
    <w:uiPriority w:val="35"/>
    <w:qFormat/>
    <w:rsid w:val="00845972"/>
    <w:pPr>
      <w:spacing w:before="120" w:after="120" w:line="240" w:lineRule="auto"/>
      <w:ind w:firstLine="48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845972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845972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45972"/>
    <w:pPr>
      <w:numPr>
        <w:ilvl w:val="1"/>
      </w:numPr>
      <w:spacing w:before="120" w:after="120"/>
      <w:ind w:firstLine="482"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45972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45972"/>
    <w:rPr>
      <w:b/>
      <w:bCs/>
    </w:rPr>
  </w:style>
  <w:style w:type="character" w:styleId="a9">
    <w:name w:val="Emphasis"/>
    <w:basedOn w:val="a0"/>
    <w:uiPriority w:val="20"/>
    <w:qFormat/>
    <w:rsid w:val="00845972"/>
    <w:rPr>
      <w:i/>
      <w:iCs/>
    </w:rPr>
  </w:style>
  <w:style w:type="paragraph" w:styleId="aa">
    <w:name w:val="No Spacing"/>
    <w:uiPriority w:val="1"/>
    <w:qFormat/>
    <w:rsid w:val="0084597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845972"/>
    <w:pPr>
      <w:spacing w:before="120" w:after="120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45972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45972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845972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FF3F1F"/>
      <w:lang w:eastAsia="ru-RU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845972"/>
    <w:rPr>
      <w:rFonts w:ascii="Times New Roman" w:eastAsia="Times New Roman" w:hAnsi="Times New Roman" w:cs="Times New Roman"/>
      <w:i/>
      <w:iCs/>
      <w:color w:val="FF3F1F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845972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paragraph" w:customStyle="1" w:styleId="QuoteMargin">
    <w:name w:val="QuoteMargin"/>
    <w:aliases w:val="Предупреждение Отступ"/>
    <w:qFormat/>
    <w:rsid w:val="00845972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845972"/>
    <w:pPr>
      <w:pBdr>
        <w:bottom w:val="single" w:sz="4" w:space="4" w:color="4F81BD"/>
      </w:pBdr>
      <w:spacing w:before="200" w:after="0"/>
      <w:ind w:left="936" w:right="936" w:firstLine="482"/>
      <w:jc w:val="both"/>
    </w:pPr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845972"/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styleId="ae">
    <w:name w:val="Subtle Emphasis"/>
    <w:basedOn w:val="a0"/>
    <w:uiPriority w:val="19"/>
    <w:qFormat/>
    <w:rsid w:val="00845972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845972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845972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845972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8459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845972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845972"/>
    <w:pPr>
      <w:spacing w:before="120"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845972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845972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8459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845972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845972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a">
    <w:name w:val="footnote reference"/>
    <w:basedOn w:val="a0"/>
    <w:rsid w:val="00845972"/>
    <w:rPr>
      <w:vertAlign w:val="superscript"/>
    </w:rPr>
  </w:style>
  <w:style w:type="paragraph" w:styleId="afb">
    <w:name w:val="footnote text"/>
    <w:basedOn w:val="a"/>
    <w:link w:val="12"/>
    <w:rsid w:val="00845972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b"/>
    <w:rsid w:val="008459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845972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845972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845972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845972"/>
    <w:pPr>
      <w:spacing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84597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4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11.consultant.ru/cgi/online.cgi?ref=9D8161AA42813FF2C5CEF20345109A18045E915A4D486592BF0D91A3DD55F1698951AD87C989255BD5FBE893C30799654393C4422B6702763792395C742FD69E8FDD4C4BBB23d1R3M" TargetMode="External"/><Relationship Id="rId13" Type="http://schemas.openxmlformats.org/officeDocument/2006/relationships/hyperlink" Target="https://online11.consultant.ru/cgi/online.cgi?ref=9D8161AA42813FF2C5CEF20345109A18045E915A4D486592BF0D91A3DD55F1698951AD87C989255BD5FBE190C6009D654393C4422B6702763792395C742FD69E8EDC4717EA615CE677B5d6R0M" TargetMode="External"/><Relationship Id="rId18" Type="http://schemas.openxmlformats.org/officeDocument/2006/relationships/hyperlink" Target="https://online11.consultant.ru/cgi/online.cgi?ref=9D8161AA42813FF2C5CEF20345109A18045E915A4D486592BF0D91A3DD55F1698951AD87C989255BD5F8E992CB0298654393C4422B6702763792395C742FD69E8FDC4C4BBB23d1R3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nline11.consultant.ru/cgi/online.cgi?ref=9D8161AA42813FF2C5CEF20345109A18045E915A4D486592BF0D91A3DD55F1698951AD87C989255BD5FAE996C10499654393C4422B6702763792395C742FD69E8ED44C4BBB23d1R3M" TargetMode="External"/><Relationship Id="rId7" Type="http://schemas.openxmlformats.org/officeDocument/2006/relationships/hyperlink" Target="https://online11.consultant.ru/cgi/online.cgi?ref=9D8161AA42813FF2C5CEF20345109A18045E915A4D486592BF0D91A3DD55F1698951AD87C989255BD5FAE996C40691654393C4422B6702763792395C742FD69E8EDC4717EA615CE677B5d6R0M" TargetMode="External"/><Relationship Id="rId12" Type="http://schemas.openxmlformats.org/officeDocument/2006/relationships/hyperlink" Target="https://online11.consultant.ru/cgi/online.cgi?ref=9D8161AA42813FF2C5CEF20345109A18045E915A4D486592BF0D91A3DD55F1698951AD87C989255BD5FBE190C6009D654393C4422B6702763792395C742FD69E8EDC4717EA615CE677B5d6R0M" TargetMode="External"/><Relationship Id="rId17" Type="http://schemas.openxmlformats.org/officeDocument/2006/relationships/hyperlink" Target="https://online11.consultant.ru/cgi/online.cgi?ref=9D8161AA42813FF2C5CEF20345109A18045E915A4D486592BF0D91A3DD55F1698951AD87C989255BD5FBEB97C0019A654393C4422B6702763792395C742FD69E8EDC4717EA615CE677B5d6R0M" TargetMode="External"/><Relationship Id="rId25" Type="http://schemas.openxmlformats.org/officeDocument/2006/relationships/hyperlink" Target="https://online11.consultant.ru/cgi/online.cgi?ref=9D8161AA42813FF2C5CEF20345109A18045E915A4D486592BF0D91A3DD55F1698951AD87C989255BD5FAE995C40791654393C4422B6702763792395C742FD69E8EDF4C4BBB23d1R3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11.consultant.ru/cgi/online.cgi?ref=9D8161AA42813FF2C5CEF20345109A18045E915A4D486592BF0D91A3DD55F1698951AD87C989255BD5FBEB97C0019A654393C4422B6702763792395C742FD69E8EDC4717EA615CE677B5d6R0M" TargetMode="External"/><Relationship Id="rId20" Type="http://schemas.openxmlformats.org/officeDocument/2006/relationships/hyperlink" Target="https://online11.consultant.ru/cgi/online.cgi?ref=9D8161AA42813FF2C5CEF20345109A18045E915A4D486592BF0D91A3DD55F1698951AD87C989255BD5FAE996C10499654393C4422B6702763792395C742FD69E8ED44C4BBB23d1R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11.consultant.ru/cgi/online.cgi?ref=9D8161AA42813FF2C5CEF20345109A18045E915A4D486592BF0D91A3DD55F1698951AD87C989255BD5FBE092C60399654393C4422B6702763792395C742FD49F8BD44C4BBB23d1R3M" TargetMode="External"/><Relationship Id="rId24" Type="http://schemas.openxmlformats.org/officeDocument/2006/relationships/hyperlink" Target="https://online11.consultant.ru/cgi/online.cgi?ref=9D8161AA42813FF2C5CEF20345109A18045E915A4D486592BF0D91A3DD55F1698951AD87C989255BD5FAE995C40791654393C4422B6702763792395C742FD69E8EDF4C4BBB23d1R3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nline11.consultant.ru/cgi/online.cgi?ref=9D8161AA42813FF2C5CEF20345109A18045E915A4D486592BF0D91A3DD55F1698951AD87C989255BD5FBE190C6009D654393C4422B6702763792395C742FD39C8DD94C4BBB23d1R3M" TargetMode="External"/><Relationship Id="rId23" Type="http://schemas.openxmlformats.org/officeDocument/2006/relationships/hyperlink" Target="https://online11.consultant.ru/cgi/online.cgi?ref=9D8161AA42813FF2C5CEF20345109A18045E915A4D486592BF0D91A3DD55F1698951AD87C989255BD5FBE895C40D9E654393C4422B6702763792395C742FD69E8EDC4717EA615CE677B5d6R0M" TargetMode="External"/><Relationship Id="rId10" Type="http://schemas.openxmlformats.org/officeDocument/2006/relationships/hyperlink" Target="https://online11.consultant.ru/cgi/online.cgi?ref=9D8161AA42813FF2C5CEF20345109A18045E915A4D486592BF0D91A3DD55F1698951AD87C989255BD5FBE092C60399654393C4422B6702763792395C742FD49F8BD44C4BBB23d1R3M" TargetMode="External"/><Relationship Id="rId19" Type="http://schemas.openxmlformats.org/officeDocument/2006/relationships/hyperlink" Target="https://online11.consultant.ru/cgi/online.cgi?ref=9D8161AA42813FF2C5CEF20345109A18045E915A4D486592BF0D91A3DD55F1698951AD87C989255BD5F8E992CB0298654393C4422B6702763792395C742FD69E8FDC4C4BBB23d1R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11.consultant.ru/cgi/online.cgi?ref=9D8161AA42813FF2C5CEF20345109A18045E915A4D486592BF0D91A3DD55F1698951AD87C989255BD5FBE893C30799654393C4422B6702763792395C742FD69E8FDD4C4BBB23d1R3M" TargetMode="External"/><Relationship Id="rId14" Type="http://schemas.openxmlformats.org/officeDocument/2006/relationships/hyperlink" Target="https://online11.consultant.ru/cgi/online.cgi?ref=9D8161AA42813FF2C5CEF20345109A18045E915A4D486592BF0D91A3DD55F1698951AD87C989255BD5FBE190C6009D654393C4422B6702763792395C742FD39C8DD94C4BBB23d1R3M" TargetMode="External"/><Relationship Id="rId22" Type="http://schemas.openxmlformats.org/officeDocument/2006/relationships/hyperlink" Target="https://online11.consultant.ru/cgi/online.cgi?ref=9D8161AA42813FF2C5CEF20345109A18045E915A4D486592BF0D91A3DD55F1698951AD87C989255BD5FBE895C40D9E654393C4422B6702763792395C742FD69E8EDC4717EA615CE677B5d6R0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4AAEA66-0701-4153-9129-6E1FC003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г.Кургану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Богомаз Наталья Степановна</dc:creator>
  <cp:lastModifiedBy>Заровная Евгения Викторовна</cp:lastModifiedBy>
  <cp:revision>4</cp:revision>
  <cp:lastPrinted>2020-02-04T10:22:00Z</cp:lastPrinted>
  <dcterms:created xsi:type="dcterms:W3CDTF">2021-01-11T09:43:00Z</dcterms:created>
  <dcterms:modified xsi:type="dcterms:W3CDTF">2021-01-11T09:50:00Z</dcterms:modified>
</cp:coreProperties>
</file>