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5970145">
      <w:pPr>
        <w:jc w:val="center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УФНС России по Курганской области</w:t>
      </w:r>
    </w:p>
    <w:p w14:paraId="5D187D7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СВОДНАЯ СПРАВКА</w:t>
      </w:r>
    </w:p>
    <w:p w14:paraId="0F934B47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поступлении и рассмотрении обращений граждан</w:t>
      </w:r>
    </w:p>
    <w:p w14:paraId="5A74A4B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c 01.0</w:t>
      </w:r>
      <w:r>
        <w:rPr>
          <w:rFonts w:hint="default"/>
          <w:b/>
          <w:sz w:val="24"/>
          <w:szCs w:val="24"/>
          <w:lang w:val="ru-RU"/>
        </w:rPr>
        <w:t>4</w:t>
      </w:r>
      <w:r>
        <w:rPr>
          <w:b/>
          <w:sz w:val="24"/>
          <w:szCs w:val="24"/>
        </w:rPr>
        <w:t>.2026 по 3</w:t>
      </w:r>
      <w:r>
        <w:rPr>
          <w:rFonts w:hint="default"/>
          <w:b/>
          <w:sz w:val="24"/>
          <w:szCs w:val="24"/>
          <w:lang w:val="ru-RU"/>
        </w:rPr>
        <w:t>0</w:t>
      </w:r>
      <w:r>
        <w:rPr>
          <w:b/>
          <w:sz w:val="24"/>
          <w:szCs w:val="24"/>
        </w:rPr>
        <w:t>.0</w:t>
      </w:r>
      <w:r>
        <w:rPr>
          <w:rFonts w:hint="default"/>
          <w:b/>
          <w:sz w:val="24"/>
          <w:szCs w:val="24"/>
          <w:lang w:val="ru-RU"/>
        </w:rPr>
        <w:t>4</w:t>
      </w:r>
      <w:r>
        <w:rPr>
          <w:b/>
          <w:sz w:val="24"/>
          <w:szCs w:val="24"/>
        </w:rPr>
        <w:t>.2026</w:t>
      </w:r>
    </w:p>
    <w:p w14:paraId="482E3475">
      <w:pPr>
        <w:jc w:val="center"/>
        <w:rPr>
          <w:b/>
          <w:sz w:val="10"/>
          <w:szCs w:val="10"/>
        </w:rPr>
      </w:pPr>
    </w:p>
    <w:tbl>
      <w:tblPr>
        <w:tblStyle w:val="12"/>
        <w:tblW w:w="16018" w:type="dxa"/>
        <w:tblInd w:w="-743" w:type="dxa"/>
        <w:tblBorders>
          <w:top w:val="single" w:color="auto" w:sz="6" w:space="0"/>
          <w:left w:val="single" w:color="auto" w:sz="6" w:space="0"/>
          <w:bottom w:val="single" w:color="auto" w:sz="6" w:space="0"/>
          <w:right w:val="single" w:color="auto" w:sz="6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53"/>
        <w:gridCol w:w="1139"/>
        <w:gridCol w:w="985"/>
        <w:gridCol w:w="1277"/>
        <w:gridCol w:w="710"/>
        <w:gridCol w:w="710"/>
        <w:gridCol w:w="851"/>
        <w:gridCol w:w="852"/>
        <w:gridCol w:w="1276"/>
        <w:gridCol w:w="852"/>
        <w:gridCol w:w="1134"/>
        <w:gridCol w:w="987"/>
        <w:gridCol w:w="992"/>
      </w:tblGrid>
      <w:tr w14:paraId="0390903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vMerge w:val="restart"/>
            <w:vAlign w:val="center"/>
          </w:tcPr>
          <w:p w14:paraId="47E0434B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Наименование отделов Управления</w:t>
            </w:r>
          </w:p>
        </w:tc>
        <w:tc>
          <w:tcPr>
            <w:tcW w:w="1139" w:type="dxa"/>
            <w:vMerge w:val="restart"/>
            <w:vAlign w:val="center"/>
          </w:tcPr>
          <w:p w14:paraId="01827848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Поступило                   в отчетном месяце</w:t>
            </w:r>
          </w:p>
        </w:tc>
        <w:tc>
          <w:tcPr>
            <w:tcW w:w="2262" w:type="dxa"/>
            <w:gridSpan w:val="2"/>
            <w:vAlign w:val="center"/>
          </w:tcPr>
          <w:p w14:paraId="054D0214">
            <w:pPr>
              <w:jc w:val="center"/>
              <w:rPr>
                <w:sz w:val="18"/>
              </w:rPr>
            </w:pPr>
            <w:r>
              <w:rPr>
                <w:sz w:val="18"/>
              </w:rPr>
              <w:t>В том числе (перешедшие с прошлого отчетного периода)</w:t>
            </w:r>
          </w:p>
        </w:tc>
        <w:tc>
          <w:tcPr>
            <w:tcW w:w="3123" w:type="dxa"/>
            <w:gridSpan w:val="4"/>
            <w:vAlign w:val="center"/>
          </w:tcPr>
          <w:p w14:paraId="76557B47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Рассмотрены в установленные законом сроки</w:t>
            </w:r>
          </w:p>
        </w:tc>
        <w:tc>
          <w:tcPr>
            <w:tcW w:w="1276" w:type="dxa"/>
            <w:vMerge w:val="restart"/>
            <w:shd w:val="clear" w:color="auto" w:fill="DBE5F1" w:themeFill="accent1" w:themeFillTint="33"/>
            <w:vAlign w:val="center"/>
          </w:tcPr>
          <w:p w14:paraId="4867391A">
            <w:pPr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Рассмотрено с нарушением срока</w:t>
            </w:r>
          </w:p>
        </w:tc>
        <w:tc>
          <w:tcPr>
            <w:tcW w:w="3965" w:type="dxa"/>
            <w:gridSpan w:val="4"/>
            <w:vAlign w:val="center"/>
          </w:tcPr>
          <w:p w14:paraId="3B068106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Результаты рассмотрения</w:t>
            </w:r>
          </w:p>
        </w:tc>
      </w:tr>
      <w:tr w14:paraId="5AE70B1D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67" w:hRule="atLeast"/>
        </w:trPr>
        <w:tc>
          <w:tcPr>
            <w:tcW w:w="4253" w:type="dxa"/>
            <w:vMerge w:val="continue"/>
          </w:tcPr>
          <w:p w14:paraId="5BF9109A">
            <w:pPr>
              <w:jc w:val="center"/>
              <w:rPr>
                <w:sz w:val="18"/>
              </w:rPr>
            </w:pPr>
          </w:p>
        </w:tc>
        <w:tc>
          <w:tcPr>
            <w:tcW w:w="1139" w:type="dxa"/>
            <w:vMerge w:val="continue"/>
          </w:tcPr>
          <w:p w14:paraId="7CFECB7E">
            <w:pPr>
              <w:jc w:val="center"/>
              <w:rPr>
                <w:sz w:val="18"/>
              </w:rPr>
            </w:pPr>
          </w:p>
        </w:tc>
        <w:tc>
          <w:tcPr>
            <w:tcW w:w="985" w:type="dxa"/>
          </w:tcPr>
          <w:p w14:paraId="55D1A20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направлено для исполнения и ответа в ф/о и др. ведом.</w:t>
            </w:r>
          </w:p>
        </w:tc>
        <w:tc>
          <w:tcPr>
            <w:tcW w:w="1277" w:type="dxa"/>
          </w:tcPr>
          <w:p w14:paraId="6641A6C1">
            <w:pPr>
              <w:jc w:val="center"/>
              <w:rPr>
                <w:sz w:val="18"/>
              </w:rPr>
            </w:pPr>
            <w:r>
              <w:rPr>
                <w:sz w:val="18"/>
              </w:rPr>
              <w:t>рассмотрено в Управлении с дачей ответа</w:t>
            </w:r>
          </w:p>
        </w:tc>
        <w:tc>
          <w:tcPr>
            <w:tcW w:w="710" w:type="dxa"/>
          </w:tcPr>
          <w:p w14:paraId="7FA72D80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до 5 дней</w:t>
            </w:r>
          </w:p>
        </w:tc>
        <w:tc>
          <w:tcPr>
            <w:tcW w:w="710" w:type="dxa"/>
          </w:tcPr>
          <w:p w14:paraId="4B897D3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до 15 дней</w:t>
            </w:r>
          </w:p>
        </w:tc>
        <w:tc>
          <w:tcPr>
            <w:tcW w:w="851" w:type="dxa"/>
          </w:tcPr>
          <w:p w14:paraId="7495683D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до 30 дней </w:t>
            </w:r>
          </w:p>
        </w:tc>
        <w:tc>
          <w:tcPr>
            <w:tcW w:w="852" w:type="dxa"/>
          </w:tcPr>
          <w:p w14:paraId="22CCF462">
            <w:pPr>
              <w:jc w:val="center"/>
              <w:rPr>
                <w:sz w:val="18"/>
              </w:rPr>
            </w:pPr>
            <w:r>
              <w:rPr>
                <w:sz w:val="18"/>
              </w:rPr>
              <w:t>свыше 30 дней (при продлении срока)</w:t>
            </w:r>
          </w:p>
        </w:tc>
        <w:tc>
          <w:tcPr>
            <w:tcW w:w="1276" w:type="dxa"/>
            <w:vMerge w:val="continue"/>
            <w:shd w:val="clear" w:color="auto" w:fill="DBE5F1" w:themeFill="accent1" w:themeFillTint="33"/>
          </w:tcPr>
          <w:p w14:paraId="2BC80FC5">
            <w:pPr>
              <w:jc w:val="center"/>
              <w:rPr>
                <w:b/>
                <w:sz w:val="18"/>
              </w:rPr>
            </w:pPr>
          </w:p>
        </w:tc>
        <w:tc>
          <w:tcPr>
            <w:tcW w:w="852" w:type="dxa"/>
            <w:vAlign w:val="center"/>
          </w:tcPr>
          <w:p w14:paraId="3511CCF0">
            <w:pPr>
              <w:jc w:val="center"/>
              <w:rPr>
                <w:sz w:val="18"/>
              </w:rPr>
            </w:pPr>
            <w:r>
              <w:rPr>
                <w:sz w:val="18"/>
              </w:rPr>
              <w:t>удовлетворено</w:t>
            </w:r>
          </w:p>
        </w:tc>
        <w:tc>
          <w:tcPr>
            <w:tcW w:w="1134" w:type="dxa"/>
            <w:vAlign w:val="center"/>
          </w:tcPr>
          <w:p w14:paraId="06EFDAE6">
            <w:pPr>
              <w:jc w:val="center"/>
              <w:rPr>
                <w:sz w:val="18"/>
              </w:rPr>
            </w:pPr>
            <w:r>
              <w:rPr>
                <w:sz w:val="18"/>
              </w:rPr>
              <w:t>Подтвердилась правильность сигнала</w:t>
            </w:r>
          </w:p>
        </w:tc>
        <w:tc>
          <w:tcPr>
            <w:tcW w:w="987" w:type="dxa"/>
            <w:vAlign w:val="center"/>
          </w:tcPr>
          <w:p w14:paraId="3AAD5683">
            <w:pPr>
              <w:jc w:val="center"/>
              <w:rPr>
                <w:sz w:val="18"/>
              </w:rPr>
            </w:pPr>
            <w:r>
              <w:rPr>
                <w:sz w:val="18"/>
              </w:rPr>
              <w:t>дано разъяснение</w:t>
            </w:r>
          </w:p>
        </w:tc>
        <w:tc>
          <w:tcPr>
            <w:tcW w:w="992" w:type="dxa"/>
            <w:vAlign w:val="center"/>
          </w:tcPr>
          <w:p w14:paraId="26DCB8D5">
            <w:pPr>
              <w:jc w:val="center"/>
              <w:rPr>
                <w:sz w:val="18"/>
              </w:rPr>
            </w:pPr>
            <w:r>
              <w:rPr>
                <w:sz w:val="18"/>
              </w:rPr>
              <w:t xml:space="preserve">Отказ. </w:t>
            </w:r>
          </w:p>
          <w:p w14:paraId="7CAB83AA">
            <w:pPr>
              <w:jc w:val="center"/>
              <w:rPr>
                <w:sz w:val="18"/>
              </w:rPr>
            </w:pPr>
            <w:r>
              <w:rPr>
                <w:sz w:val="18"/>
              </w:rPr>
              <w:t>Не подтвердилась правильность сигнала</w:t>
            </w:r>
          </w:p>
        </w:tc>
      </w:tr>
      <w:tr w14:paraId="36DAE5FA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 w:color="auto" w:fill="auto"/>
            <w:vAlign w:val="top"/>
          </w:tcPr>
          <w:p w14:paraId="6CA24933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 xml:space="preserve"> -- </w:t>
            </w:r>
          </w:p>
        </w:tc>
        <w:tc>
          <w:tcPr>
            <w:tcW w:w="1139" w:type="dxa"/>
            <w:shd w:val="clear" w:color="auto" w:fill="auto"/>
            <w:vAlign w:val="top"/>
          </w:tcPr>
          <w:p w14:paraId="28DF186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en-US" w:eastAsia="ru-RU" w:bidi="ar-SA"/>
              </w:rPr>
            </w:pPr>
            <w:r>
              <w:rPr>
                <w:sz w:val="18"/>
              </w:rPr>
              <w:t>46</w:t>
            </w:r>
          </w:p>
        </w:tc>
        <w:tc>
          <w:tcPr>
            <w:tcW w:w="985" w:type="dxa"/>
            <w:shd w:val="clear" w:color="auto" w:fill="auto"/>
            <w:vAlign w:val="top"/>
          </w:tcPr>
          <w:p w14:paraId="11B8BA7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277" w:type="dxa"/>
            <w:shd w:val="clear" w:color="auto" w:fill="auto"/>
            <w:vAlign w:val="top"/>
          </w:tcPr>
          <w:p w14:paraId="76D6D2F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2A67C56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en-US" w:eastAsia="ru-RU" w:bidi="ar-SA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6A0D473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1A716B9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2" w:type="dxa"/>
            <w:shd w:val="clear" w:color="auto" w:fill="auto"/>
            <w:vAlign w:val="top"/>
          </w:tcPr>
          <w:p w14:paraId="0C3A11B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2AC695B7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1F6A471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134" w:type="dxa"/>
            <w:shd w:val="clear" w:color="auto" w:fill="auto"/>
            <w:vAlign w:val="top"/>
          </w:tcPr>
          <w:p w14:paraId="4B367E12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 w:color="auto" w:fill="auto"/>
            <w:vAlign w:val="top"/>
          </w:tcPr>
          <w:p w14:paraId="048F5947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92" w:type="dxa"/>
            <w:shd w:val="clear" w:color="auto" w:fill="auto"/>
            <w:vAlign w:val="top"/>
          </w:tcPr>
          <w:p w14:paraId="0A60990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6EB60ABF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 w:color="auto" w:fill="auto"/>
            <w:vAlign w:val="top"/>
          </w:tcPr>
          <w:p w14:paraId="06B57227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03. Общий отдел</w:t>
            </w:r>
          </w:p>
        </w:tc>
        <w:tc>
          <w:tcPr>
            <w:tcW w:w="1139" w:type="dxa"/>
            <w:shd w:val="clear" w:color="auto" w:fill="auto"/>
            <w:vAlign w:val="top"/>
          </w:tcPr>
          <w:p w14:paraId="79E8FCD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985" w:type="dxa"/>
            <w:shd w:val="clear" w:color="auto" w:fill="auto"/>
            <w:vAlign w:val="top"/>
          </w:tcPr>
          <w:p w14:paraId="7A388032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1277" w:type="dxa"/>
            <w:shd w:val="clear" w:color="auto" w:fill="auto"/>
            <w:vAlign w:val="top"/>
          </w:tcPr>
          <w:p w14:paraId="649AF21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710" w:type="dxa"/>
            <w:shd w:val="clear" w:color="auto" w:fill="auto"/>
            <w:vAlign w:val="top"/>
          </w:tcPr>
          <w:p w14:paraId="2745C31B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3A5AB47B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44CAAC1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2E38232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AA874B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6B93690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134" w:type="dxa"/>
            <w:shd w:val="clear" w:color="auto" w:fill="auto"/>
            <w:vAlign w:val="top"/>
          </w:tcPr>
          <w:p w14:paraId="113005E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 w:color="auto" w:fill="auto"/>
            <w:vAlign w:val="top"/>
          </w:tcPr>
          <w:p w14:paraId="7A5E83B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  <w:vAlign w:val="top"/>
          </w:tcPr>
          <w:p w14:paraId="16EF2047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329519F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 w:color="auto" w:fill="auto"/>
            <w:vAlign w:val="top"/>
          </w:tcPr>
          <w:p w14:paraId="58C7421D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05. Отдел информационной безопасности и информационных технологий</w:t>
            </w:r>
          </w:p>
        </w:tc>
        <w:tc>
          <w:tcPr>
            <w:tcW w:w="1139" w:type="dxa"/>
            <w:shd w:val="clear" w:color="auto" w:fill="auto"/>
            <w:vAlign w:val="top"/>
          </w:tcPr>
          <w:p w14:paraId="6F402EC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85" w:type="dxa"/>
            <w:shd w:val="clear" w:color="auto" w:fill="auto"/>
            <w:vAlign w:val="top"/>
          </w:tcPr>
          <w:p w14:paraId="0C4F2C6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 w:color="auto" w:fill="auto"/>
            <w:vAlign w:val="top"/>
          </w:tcPr>
          <w:p w14:paraId="546780E6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21C8DFB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323AE8A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851" w:type="dxa"/>
            <w:shd w:val="clear" w:color="auto" w:fill="auto"/>
            <w:vAlign w:val="top"/>
          </w:tcPr>
          <w:p w14:paraId="18FC874B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2ADF114E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4AA794A2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19FDE6A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134" w:type="dxa"/>
            <w:shd w:val="clear" w:color="auto" w:fill="auto"/>
            <w:vAlign w:val="top"/>
          </w:tcPr>
          <w:p w14:paraId="3C85E89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 w:color="auto" w:fill="auto"/>
            <w:vAlign w:val="top"/>
          </w:tcPr>
          <w:p w14:paraId="78398A0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  <w:vAlign w:val="top"/>
          </w:tcPr>
          <w:p w14:paraId="5270205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2E5A4E89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 w:color="auto" w:fill="auto"/>
            <w:vAlign w:val="top"/>
          </w:tcPr>
          <w:p w14:paraId="1D11342E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07. Отдел оказания государственных услуг</w:t>
            </w:r>
          </w:p>
        </w:tc>
        <w:tc>
          <w:tcPr>
            <w:tcW w:w="1139" w:type="dxa"/>
            <w:shd w:val="clear" w:color="auto" w:fill="auto"/>
            <w:vAlign w:val="top"/>
          </w:tcPr>
          <w:p w14:paraId="380B855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985" w:type="dxa"/>
            <w:shd w:val="clear" w:color="auto" w:fill="auto"/>
            <w:vAlign w:val="top"/>
          </w:tcPr>
          <w:p w14:paraId="2D06BF5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 w:color="auto" w:fill="auto"/>
            <w:vAlign w:val="top"/>
          </w:tcPr>
          <w:p w14:paraId="76E6F538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155A6147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4752A50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4892CFC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2" w:type="dxa"/>
            <w:shd w:val="clear" w:color="auto" w:fill="auto"/>
            <w:vAlign w:val="top"/>
          </w:tcPr>
          <w:p w14:paraId="43398F8F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245365F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044390B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134" w:type="dxa"/>
            <w:shd w:val="clear" w:color="auto" w:fill="auto"/>
            <w:vAlign w:val="top"/>
          </w:tcPr>
          <w:p w14:paraId="2F126FE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 w:color="auto" w:fill="auto"/>
            <w:vAlign w:val="top"/>
          </w:tcPr>
          <w:p w14:paraId="715CB59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992" w:type="dxa"/>
            <w:shd w:val="clear" w:color="auto" w:fill="auto"/>
            <w:vAlign w:val="top"/>
          </w:tcPr>
          <w:p w14:paraId="0CAEF0D8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17CB613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 w:color="auto" w:fill="auto"/>
            <w:vAlign w:val="top"/>
          </w:tcPr>
          <w:p w14:paraId="59839CDC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08. Отдел регистрации и учета налогоплательщиков №1</w:t>
            </w:r>
          </w:p>
        </w:tc>
        <w:tc>
          <w:tcPr>
            <w:tcW w:w="1139" w:type="dxa"/>
            <w:shd w:val="clear" w:color="auto" w:fill="auto"/>
            <w:vAlign w:val="top"/>
          </w:tcPr>
          <w:p w14:paraId="29257B8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230</w:t>
            </w:r>
          </w:p>
        </w:tc>
        <w:tc>
          <w:tcPr>
            <w:tcW w:w="985" w:type="dxa"/>
            <w:shd w:val="clear" w:color="auto" w:fill="auto"/>
            <w:vAlign w:val="top"/>
          </w:tcPr>
          <w:p w14:paraId="1E00376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 w:color="auto" w:fill="auto"/>
            <w:vAlign w:val="top"/>
          </w:tcPr>
          <w:p w14:paraId="0959D94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239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56F0A25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206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689032D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7EFABF56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852" w:type="dxa"/>
            <w:shd w:val="clear" w:color="auto" w:fill="auto"/>
            <w:vAlign w:val="top"/>
          </w:tcPr>
          <w:p w14:paraId="748B3BA7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C7C67C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6BA65612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67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6740D86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 w:color="auto" w:fill="auto"/>
            <w:vAlign w:val="top"/>
          </w:tcPr>
          <w:p w14:paraId="3DBA44E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50</w:t>
            </w:r>
          </w:p>
        </w:tc>
        <w:tc>
          <w:tcPr>
            <w:tcW w:w="992" w:type="dxa"/>
            <w:shd w:val="clear" w:color="auto" w:fill="auto"/>
            <w:vAlign w:val="top"/>
          </w:tcPr>
          <w:p w14:paraId="2DF1295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118</w:t>
            </w:r>
          </w:p>
        </w:tc>
      </w:tr>
      <w:tr w14:paraId="07DF979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 w:color="auto" w:fill="auto"/>
            <w:vAlign w:val="top"/>
          </w:tcPr>
          <w:p w14:paraId="705C814B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09. Отдел регистрации и учета налогоплательщиков №2</w:t>
            </w:r>
          </w:p>
        </w:tc>
        <w:tc>
          <w:tcPr>
            <w:tcW w:w="1139" w:type="dxa"/>
            <w:shd w:val="clear" w:color="auto" w:fill="auto"/>
            <w:vAlign w:val="top"/>
          </w:tcPr>
          <w:p w14:paraId="27D91B0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22</w:t>
            </w:r>
          </w:p>
        </w:tc>
        <w:tc>
          <w:tcPr>
            <w:tcW w:w="985" w:type="dxa"/>
            <w:shd w:val="clear" w:color="auto" w:fill="auto"/>
            <w:vAlign w:val="top"/>
          </w:tcPr>
          <w:p w14:paraId="4EEF7E7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1277" w:type="dxa"/>
            <w:shd w:val="clear" w:color="auto" w:fill="auto"/>
            <w:vAlign w:val="top"/>
          </w:tcPr>
          <w:p w14:paraId="54D4672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20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7386835B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0A6A36BE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27C2D418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2" w:type="dxa"/>
            <w:shd w:val="clear" w:color="auto" w:fill="auto"/>
            <w:vAlign w:val="top"/>
          </w:tcPr>
          <w:p w14:paraId="784F519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5FAFD62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58D74A2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5643B04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 w:color="auto" w:fill="auto"/>
            <w:vAlign w:val="top"/>
          </w:tcPr>
          <w:p w14:paraId="7DCF4B6B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  <w:vAlign w:val="top"/>
          </w:tcPr>
          <w:p w14:paraId="148D32B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14CED777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 w:color="auto" w:fill="auto"/>
            <w:vAlign w:val="top"/>
          </w:tcPr>
          <w:p w14:paraId="27C707B2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10. Отдел камерального контроля специальных налоговых режимов</w:t>
            </w:r>
          </w:p>
        </w:tc>
        <w:tc>
          <w:tcPr>
            <w:tcW w:w="1139" w:type="dxa"/>
            <w:shd w:val="clear" w:color="auto" w:fill="auto"/>
            <w:vAlign w:val="top"/>
          </w:tcPr>
          <w:p w14:paraId="197F05F8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985" w:type="dxa"/>
            <w:shd w:val="clear" w:color="auto" w:fill="auto"/>
            <w:vAlign w:val="top"/>
          </w:tcPr>
          <w:p w14:paraId="3914A77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 w:color="auto" w:fill="auto"/>
            <w:vAlign w:val="top"/>
          </w:tcPr>
          <w:p w14:paraId="6868D4FF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72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18C01BE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1CFAF13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26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6203A5D6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852" w:type="dxa"/>
            <w:shd w:val="clear" w:color="auto" w:fill="auto"/>
            <w:vAlign w:val="top"/>
          </w:tcPr>
          <w:p w14:paraId="40FDF60F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9D565D4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3AB061B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1BA0777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 w:color="auto" w:fill="auto"/>
            <w:vAlign w:val="top"/>
          </w:tcPr>
          <w:p w14:paraId="761360C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29</w:t>
            </w:r>
          </w:p>
        </w:tc>
        <w:tc>
          <w:tcPr>
            <w:tcW w:w="992" w:type="dxa"/>
            <w:shd w:val="clear" w:color="auto" w:fill="auto"/>
            <w:vAlign w:val="top"/>
          </w:tcPr>
          <w:p w14:paraId="60757322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1307DDA6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 w:color="auto" w:fill="auto"/>
            <w:vAlign w:val="top"/>
          </w:tcPr>
          <w:p w14:paraId="5E2CAA39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11. Отдел камерального контроля в сфере налогообложения имущества</w:t>
            </w:r>
          </w:p>
        </w:tc>
        <w:tc>
          <w:tcPr>
            <w:tcW w:w="1139" w:type="dxa"/>
            <w:shd w:val="clear" w:color="auto" w:fill="auto"/>
            <w:vAlign w:val="top"/>
          </w:tcPr>
          <w:p w14:paraId="728B3D2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98</w:t>
            </w:r>
          </w:p>
        </w:tc>
        <w:tc>
          <w:tcPr>
            <w:tcW w:w="985" w:type="dxa"/>
            <w:shd w:val="clear" w:color="auto" w:fill="auto"/>
            <w:vAlign w:val="top"/>
          </w:tcPr>
          <w:p w14:paraId="62B6B37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277" w:type="dxa"/>
            <w:shd w:val="clear" w:color="auto" w:fill="auto"/>
            <w:vAlign w:val="top"/>
          </w:tcPr>
          <w:p w14:paraId="161017C7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113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026CF99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31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29AF2C6F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59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4048625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852" w:type="dxa"/>
            <w:shd w:val="clear" w:color="auto" w:fill="auto"/>
            <w:vAlign w:val="top"/>
          </w:tcPr>
          <w:p w14:paraId="33F2519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723001F6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36C835D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78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39C6ACD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 w:color="auto" w:fill="auto"/>
            <w:vAlign w:val="top"/>
          </w:tcPr>
          <w:p w14:paraId="15E24466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66</w:t>
            </w:r>
          </w:p>
        </w:tc>
        <w:tc>
          <w:tcPr>
            <w:tcW w:w="992" w:type="dxa"/>
            <w:shd w:val="clear" w:color="auto" w:fill="auto"/>
            <w:vAlign w:val="top"/>
          </w:tcPr>
          <w:p w14:paraId="2466B3AE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4EEBD180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 w:color="auto" w:fill="auto"/>
            <w:vAlign w:val="top"/>
          </w:tcPr>
          <w:p w14:paraId="2FCEEF10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12. Отдел камерального контроля налога на доходы физических лиц</w:t>
            </w:r>
          </w:p>
        </w:tc>
        <w:tc>
          <w:tcPr>
            <w:tcW w:w="1139" w:type="dxa"/>
            <w:shd w:val="clear" w:color="auto" w:fill="auto"/>
            <w:vAlign w:val="top"/>
          </w:tcPr>
          <w:p w14:paraId="30B616C6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985" w:type="dxa"/>
            <w:shd w:val="clear" w:color="auto" w:fill="auto"/>
            <w:vAlign w:val="top"/>
          </w:tcPr>
          <w:p w14:paraId="54947B3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 w:color="auto" w:fill="auto"/>
            <w:vAlign w:val="top"/>
          </w:tcPr>
          <w:p w14:paraId="5F483CFB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18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71584C0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710" w:type="dxa"/>
            <w:shd w:val="clear" w:color="auto" w:fill="auto"/>
            <w:vAlign w:val="top"/>
          </w:tcPr>
          <w:p w14:paraId="6368FF5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4E183D9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852" w:type="dxa"/>
            <w:shd w:val="clear" w:color="auto" w:fill="auto"/>
            <w:vAlign w:val="top"/>
          </w:tcPr>
          <w:p w14:paraId="130092CB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80C38A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27E666B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4D00351B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 w:color="auto" w:fill="auto"/>
            <w:vAlign w:val="top"/>
          </w:tcPr>
          <w:p w14:paraId="1C021B7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992" w:type="dxa"/>
            <w:shd w:val="clear" w:color="auto" w:fill="auto"/>
            <w:vAlign w:val="top"/>
          </w:tcPr>
          <w:p w14:paraId="17E5334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67D137D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 w:color="auto" w:fill="auto"/>
            <w:vAlign w:val="top"/>
          </w:tcPr>
          <w:p w14:paraId="47D0FEA1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13. Отдел камерального контроля налога на доходы</w:t>
            </w:r>
          </w:p>
        </w:tc>
        <w:tc>
          <w:tcPr>
            <w:tcW w:w="1139" w:type="dxa"/>
            <w:shd w:val="clear" w:color="auto" w:fill="auto"/>
            <w:vAlign w:val="top"/>
          </w:tcPr>
          <w:p w14:paraId="37C54C3E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985" w:type="dxa"/>
            <w:shd w:val="clear" w:color="auto" w:fill="auto"/>
            <w:vAlign w:val="top"/>
          </w:tcPr>
          <w:p w14:paraId="270AB3A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277" w:type="dxa"/>
            <w:shd w:val="clear" w:color="auto" w:fill="auto"/>
            <w:vAlign w:val="top"/>
          </w:tcPr>
          <w:p w14:paraId="6099D77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57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08EAED7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37A562F2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5ED1C0E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14</w:t>
            </w:r>
          </w:p>
        </w:tc>
        <w:tc>
          <w:tcPr>
            <w:tcW w:w="852" w:type="dxa"/>
            <w:shd w:val="clear" w:color="auto" w:fill="auto"/>
            <w:vAlign w:val="top"/>
          </w:tcPr>
          <w:p w14:paraId="2FE1E902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8B4C713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1A45D31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40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03C09D4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 w:color="auto" w:fill="auto"/>
            <w:vAlign w:val="top"/>
          </w:tcPr>
          <w:p w14:paraId="0F5EB14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23</w:t>
            </w:r>
          </w:p>
        </w:tc>
        <w:tc>
          <w:tcPr>
            <w:tcW w:w="992" w:type="dxa"/>
            <w:shd w:val="clear" w:color="auto" w:fill="auto"/>
            <w:vAlign w:val="top"/>
          </w:tcPr>
          <w:p w14:paraId="3EC35CF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67E406D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 w:color="auto" w:fill="auto"/>
            <w:vAlign w:val="top"/>
          </w:tcPr>
          <w:p w14:paraId="6058B023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14. Отдел камерального контроля</w:t>
            </w:r>
          </w:p>
        </w:tc>
        <w:tc>
          <w:tcPr>
            <w:tcW w:w="1139" w:type="dxa"/>
            <w:shd w:val="clear" w:color="auto" w:fill="auto"/>
            <w:vAlign w:val="top"/>
          </w:tcPr>
          <w:p w14:paraId="456A17E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985" w:type="dxa"/>
            <w:shd w:val="clear" w:color="auto" w:fill="auto"/>
            <w:vAlign w:val="top"/>
          </w:tcPr>
          <w:p w14:paraId="122446C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 w:color="auto" w:fill="auto"/>
            <w:vAlign w:val="top"/>
          </w:tcPr>
          <w:p w14:paraId="14BAE5F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19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61148FF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10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6CE2E34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5735BC4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43851DD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4D70C29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28FA642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28E1DFA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 w:color="auto" w:fill="auto"/>
            <w:vAlign w:val="top"/>
          </w:tcPr>
          <w:p w14:paraId="7C4EB4B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7</w:t>
            </w:r>
          </w:p>
        </w:tc>
        <w:tc>
          <w:tcPr>
            <w:tcW w:w="992" w:type="dxa"/>
            <w:shd w:val="clear" w:color="auto" w:fill="auto"/>
            <w:vAlign w:val="top"/>
          </w:tcPr>
          <w:p w14:paraId="72775AD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2D10A222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 w:color="auto" w:fill="auto"/>
            <w:vAlign w:val="top"/>
          </w:tcPr>
          <w:p w14:paraId="31E6B315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15. Отдел камерального контроля налога на добавленную стоимость № 1</w:t>
            </w:r>
          </w:p>
        </w:tc>
        <w:tc>
          <w:tcPr>
            <w:tcW w:w="1139" w:type="dxa"/>
            <w:shd w:val="clear" w:color="auto" w:fill="auto"/>
            <w:vAlign w:val="top"/>
          </w:tcPr>
          <w:p w14:paraId="7A70EBB7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985" w:type="dxa"/>
            <w:shd w:val="clear" w:color="auto" w:fill="auto"/>
            <w:vAlign w:val="top"/>
          </w:tcPr>
          <w:p w14:paraId="590FC96F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 w:color="auto" w:fill="auto"/>
            <w:vAlign w:val="top"/>
          </w:tcPr>
          <w:p w14:paraId="4DAF8E3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62EF236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0B2EF1D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230014B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852" w:type="dxa"/>
            <w:shd w:val="clear" w:color="auto" w:fill="auto"/>
            <w:vAlign w:val="top"/>
          </w:tcPr>
          <w:p w14:paraId="55270A3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5BEDA9B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15D5603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35D9447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 w:color="auto" w:fill="auto"/>
            <w:vAlign w:val="top"/>
          </w:tcPr>
          <w:p w14:paraId="6B24A0A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8</w:t>
            </w:r>
          </w:p>
        </w:tc>
        <w:tc>
          <w:tcPr>
            <w:tcW w:w="992" w:type="dxa"/>
            <w:shd w:val="clear" w:color="auto" w:fill="auto"/>
            <w:vAlign w:val="top"/>
          </w:tcPr>
          <w:p w14:paraId="773450E7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2D6203AB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 w:color="auto" w:fill="auto"/>
            <w:vAlign w:val="top"/>
          </w:tcPr>
          <w:p w14:paraId="7228C1B3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16. Отдел камерального контроля налога на добавленную стоимость № 2</w:t>
            </w:r>
          </w:p>
        </w:tc>
        <w:tc>
          <w:tcPr>
            <w:tcW w:w="1139" w:type="dxa"/>
            <w:shd w:val="clear" w:color="auto" w:fill="auto"/>
            <w:vAlign w:val="top"/>
          </w:tcPr>
          <w:p w14:paraId="209BD79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38</w:t>
            </w:r>
          </w:p>
        </w:tc>
        <w:tc>
          <w:tcPr>
            <w:tcW w:w="985" w:type="dxa"/>
            <w:shd w:val="clear" w:color="auto" w:fill="auto"/>
            <w:vAlign w:val="top"/>
          </w:tcPr>
          <w:p w14:paraId="15AA23CE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 w:color="auto" w:fill="auto"/>
            <w:vAlign w:val="top"/>
          </w:tcPr>
          <w:p w14:paraId="3B2C63E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32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3101C5D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2C0F03E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5714622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4406010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5615BDB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730DA7E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6DEEACAB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 w:color="auto" w:fill="auto"/>
            <w:vAlign w:val="top"/>
          </w:tcPr>
          <w:p w14:paraId="78630A0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15</w:t>
            </w:r>
          </w:p>
        </w:tc>
        <w:tc>
          <w:tcPr>
            <w:tcW w:w="992" w:type="dxa"/>
            <w:shd w:val="clear" w:color="auto" w:fill="auto"/>
            <w:vAlign w:val="top"/>
          </w:tcPr>
          <w:p w14:paraId="0A850D7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2DE5C06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 w:color="auto" w:fill="auto"/>
            <w:vAlign w:val="top"/>
          </w:tcPr>
          <w:p w14:paraId="24337982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17. Отдел выездных налоговых проверок № 1</w:t>
            </w:r>
          </w:p>
        </w:tc>
        <w:tc>
          <w:tcPr>
            <w:tcW w:w="1139" w:type="dxa"/>
            <w:shd w:val="clear" w:color="auto" w:fill="auto"/>
            <w:vAlign w:val="top"/>
          </w:tcPr>
          <w:p w14:paraId="65C9478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85" w:type="dxa"/>
            <w:shd w:val="clear" w:color="auto" w:fill="auto"/>
            <w:vAlign w:val="top"/>
          </w:tcPr>
          <w:p w14:paraId="75C9843E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 w:color="auto" w:fill="auto"/>
            <w:vAlign w:val="top"/>
          </w:tcPr>
          <w:p w14:paraId="4EE330F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7CD94F1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710" w:type="dxa"/>
            <w:shd w:val="clear" w:color="auto" w:fill="auto"/>
            <w:vAlign w:val="top"/>
          </w:tcPr>
          <w:p w14:paraId="37BCE2E7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645989F6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5A0E9E9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7DE73390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29B20F4E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134" w:type="dxa"/>
            <w:shd w:val="clear" w:color="auto" w:fill="auto"/>
            <w:vAlign w:val="top"/>
          </w:tcPr>
          <w:p w14:paraId="2F01DDB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 w:color="auto" w:fill="auto"/>
            <w:vAlign w:val="top"/>
          </w:tcPr>
          <w:p w14:paraId="75A32F5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992" w:type="dxa"/>
            <w:shd w:val="clear" w:color="auto" w:fill="auto"/>
            <w:vAlign w:val="top"/>
          </w:tcPr>
          <w:p w14:paraId="105BD42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566C2C2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 w:color="auto" w:fill="auto"/>
            <w:vAlign w:val="top"/>
          </w:tcPr>
          <w:p w14:paraId="6212A454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21. Отдел оперативного контроля</w:t>
            </w:r>
          </w:p>
        </w:tc>
        <w:tc>
          <w:tcPr>
            <w:tcW w:w="1139" w:type="dxa"/>
            <w:shd w:val="clear" w:color="auto" w:fill="auto"/>
            <w:vAlign w:val="top"/>
          </w:tcPr>
          <w:p w14:paraId="003708DB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985" w:type="dxa"/>
            <w:shd w:val="clear" w:color="auto" w:fill="auto"/>
            <w:vAlign w:val="top"/>
          </w:tcPr>
          <w:p w14:paraId="5A5B60F8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 w:color="auto" w:fill="auto"/>
            <w:vAlign w:val="top"/>
          </w:tcPr>
          <w:p w14:paraId="7EA3F8C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738B43E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40B9DB4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851" w:type="dxa"/>
            <w:shd w:val="clear" w:color="auto" w:fill="auto"/>
            <w:vAlign w:val="top"/>
          </w:tcPr>
          <w:p w14:paraId="351EEAB8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852" w:type="dxa"/>
            <w:shd w:val="clear" w:color="auto" w:fill="auto"/>
            <w:vAlign w:val="top"/>
          </w:tcPr>
          <w:p w14:paraId="7E1F753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17E015FF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0AB8A3D8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5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68723E87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 w:color="auto" w:fill="auto"/>
            <w:vAlign w:val="top"/>
          </w:tcPr>
          <w:p w14:paraId="01D5AF9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92" w:type="dxa"/>
            <w:shd w:val="clear" w:color="auto" w:fill="auto"/>
            <w:vAlign w:val="top"/>
          </w:tcPr>
          <w:p w14:paraId="7DBCFE1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428CC803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 w:color="auto" w:fill="auto"/>
            <w:vAlign w:val="top"/>
          </w:tcPr>
          <w:p w14:paraId="0EE660FC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22. Аналитический отдел</w:t>
            </w:r>
          </w:p>
        </w:tc>
        <w:tc>
          <w:tcPr>
            <w:tcW w:w="1139" w:type="dxa"/>
            <w:shd w:val="clear" w:color="auto" w:fill="auto"/>
            <w:vAlign w:val="top"/>
          </w:tcPr>
          <w:p w14:paraId="3723595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85" w:type="dxa"/>
            <w:shd w:val="clear" w:color="auto" w:fill="auto"/>
            <w:vAlign w:val="top"/>
          </w:tcPr>
          <w:p w14:paraId="62276ED7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 w:color="auto" w:fill="auto"/>
            <w:vAlign w:val="top"/>
          </w:tcPr>
          <w:p w14:paraId="1DD4213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6E0A550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6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1D6BD90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851" w:type="dxa"/>
            <w:shd w:val="clear" w:color="auto" w:fill="auto"/>
            <w:vAlign w:val="top"/>
          </w:tcPr>
          <w:p w14:paraId="4D7207CF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2AA26C5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3423EF4C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61A00356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134" w:type="dxa"/>
            <w:shd w:val="clear" w:color="auto" w:fill="auto"/>
            <w:vAlign w:val="top"/>
          </w:tcPr>
          <w:p w14:paraId="52ACD41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 w:color="auto" w:fill="auto"/>
            <w:vAlign w:val="top"/>
          </w:tcPr>
          <w:p w14:paraId="4B50FB4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92" w:type="dxa"/>
            <w:shd w:val="clear" w:color="auto" w:fill="auto"/>
            <w:vAlign w:val="top"/>
          </w:tcPr>
          <w:p w14:paraId="7CC5925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7EBBBE91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 w:color="auto" w:fill="auto"/>
            <w:vAlign w:val="top"/>
          </w:tcPr>
          <w:p w14:paraId="2DE1E6D8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23. Отдел урегулирования задолженности</w:t>
            </w:r>
          </w:p>
        </w:tc>
        <w:tc>
          <w:tcPr>
            <w:tcW w:w="1139" w:type="dxa"/>
            <w:shd w:val="clear" w:color="auto" w:fill="auto"/>
            <w:vAlign w:val="top"/>
          </w:tcPr>
          <w:p w14:paraId="4E61B872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21</w:t>
            </w:r>
          </w:p>
        </w:tc>
        <w:tc>
          <w:tcPr>
            <w:tcW w:w="985" w:type="dxa"/>
            <w:shd w:val="clear" w:color="auto" w:fill="auto"/>
            <w:vAlign w:val="top"/>
          </w:tcPr>
          <w:p w14:paraId="15EDCE4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 w:color="auto" w:fill="auto"/>
            <w:vAlign w:val="top"/>
          </w:tcPr>
          <w:p w14:paraId="5F100E2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49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05FADDA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12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04155AEF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28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424E367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9</w:t>
            </w:r>
          </w:p>
        </w:tc>
        <w:tc>
          <w:tcPr>
            <w:tcW w:w="852" w:type="dxa"/>
            <w:shd w:val="clear" w:color="auto" w:fill="auto"/>
            <w:vAlign w:val="top"/>
          </w:tcPr>
          <w:p w14:paraId="4D8BB96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0453DC1E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2030138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11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6F694D4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 w:color="auto" w:fill="auto"/>
            <w:vAlign w:val="top"/>
          </w:tcPr>
          <w:p w14:paraId="35C74C1B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37</w:t>
            </w:r>
          </w:p>
        </w:tc>
        <w:tc>
          <w:tcPr>
            <w:tcW w:w="992" w:type="dxa"/>
            <w:shd w:val="clear" w:color="auto" w:fill="auto"/>
            <w:vAlign w:val="top"/>
          </w:tcPr>
          <w:p w14:paraId="39BF661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734B48BC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 w:color="auto" w:fill="auto"/>
            <w:vAlign w:val="top"/>
          </w:tcPr>
          <w:p w14:paraId="038AAE73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24. Отдел обеспечения процедур банкротства</w:t>
            </w:r>
          </w:p>
        </w:tc>
        <w:tc>
          <w:tcPr>
            <w:tcW w:w="1139" w:type="dxa"/>
            <w:shd w:val="clear" w:color="auto" w:fill="auto"/>
            <w:vAlign w:val="top"/>
          </w:tcPr>
          <w:p w14:paraId="7A53294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5" w:type="dxa"/>
            <w:shd w:val="clear" w:color="auto" w:fill="auto"/>
            <w:vAlign w:val="top"/>
          </w:tcPr>
          <w:p w14:paraId="6364394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 w:color="auto" w:fill="auto"/>
            <w:vAlign w:val="top"/>
          </w:tcPr>
          <w:p w14:paraId="16F72002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2193A8D2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710" w:type="dxa"/>
            <w:shd w:val="clear" w:color="auto" w:fill="auto"/>
            <w:vAlign w:val="top"/>
          </w:tcPr>
          <w:p w14:paraId="38C04DB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44714B2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495C03EF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A0FC495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79F58362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134" w:type="dxa"/>
            <w:shd w:val="clear" w:color="auto" w:fill="auto"/>
            <w:vAlign w:val="top"/>
          </w:tcPr>
          <w:p w14:paraId="5ABE3F16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 w:color="auto" w:fill="auto"/>
            <w:vAlign w:val="top"/>
          </w:tcPr>
          <w:p w14:paraId="4F870BD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992" w:type="dxa"/>
            <w:shd w:val="clear" w:color="auto" w:fill="auto"/>
            <w:vAlign w:val="top"/>
          </w:tcPr>
          <w:p w14:paraId="0ADD9FE2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7D2AA57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 w:color="auto" w:fill="auto"/>
            <w:vAlign w:val="top"/>
          </w:tcPr>
          <w:p w14:paraId="2A3257DF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25. Правовой отдел № 1</w:t>
            </w:r>
          </w:p>
        </w:tc>
        <w:tc>
          <w:tcPr>
            <w:tcW w:w="1139" w:type="dxa"/>
            <w:shd w:val="clear" w:color="auto" w:fill="auto"/>
            <w:vAlign w:val="top"/>
          </w:tcPr>
          <w:p w14:paraId="6861DE5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en-US" w:eastAsia="ru-RU" w:bidi="ar-SA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85" w:type="dxa"/>
            <w:shd w:val="clear" w:color="auto" w:fill="auto"/>
            <w:vAlign w:val="top"/>
          </w:tcPr>
          <w:p w14:paraId="0D9C027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 w:color="auto" w:fill="auto"/>
            <w:vAlign w:val="top"/>
          </w:tcPr>
          <w:p w14:paraId="3516FB3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4DB0A6C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0CFBF24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388B0FB2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49E60172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276" w:type="dxa"/>
            <w:shd w:val="clear" w:color="auto" w:fill="DBE5F1" w:themeFill="accent1" w:themeFillTint="33"/>
          </w:tcPr>
          <w:p w14:paraId="17D24DD4">
            <w:pPr>
              <w:jc w:val="right"/>
              <w:rPr>
                <w:sz w:val="18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7A00889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0184189E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 w:color="auto" w:fill="auto"/>
            <w:vAlign w:val="top"/>
          </w:tcPr>
          <w:p w14:paraId="43B11547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992" w:type="dxa"/>
            <w:shd w:val="clear" w:color="auto" w:fill="auto"/>
            <w:vAlign w:val="top"/>
          </w:tcPr>
          <w:p w14:paraId="7B8A214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50E88955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 w:color="auto" w:fill="auto"/>
            <w:vAlign w:val="top"/>
          </w:tcPr>
          <w:p w14:paraId="681A7A9A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27. Правовой отдел № 3</w:t>
            </w:r>
          </w:p>
        </w:tc>
        <w:tc>
          <w:tcPr>
            <w:tcW w:w="1139" w:type="dxa"/>
            <w:shd w:val="clear" w:color="auto" w:fill="auto"/>
            <w:vAlign w:val="top"/>
          </w:tcPr>
          <w:p w14:paraId="5ADE64F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985" w:type="dxa"/>
            <w:shd w:val="clear" w:color="auto" w:fill="auto"/>
            <w:vAlign w:val="top"/>
          </w:tcPr>
          <w:p w14:paraId="20D3938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277" w:type="dxa"/>
            <w:shd w:val="clear" w:color="auto" w:fill="auto"/>
            <w:vAlign w:val="top"/>
          </w:tcPr>
          <w:p w14:paraId="6FD0307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20DFE71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</w:t>
            </w:r>
          </w:p>
        </w:tc>
        <w:tc>
          <w:tcPr>
            <w:tcW w:w="710" w:type="dxa"/>
            <w:shd w:val="clear" w:color="auto" w:fill="auto"/>
            <w:vAlign w:val="top"/>
          </w:tcPr>
          <w:p w14:paraId="48B187D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1" w:type="dxa"/>
            <w:shd w:val="clear" w:color="auto" w:fill="auto"/>
            <w:vAlign w:val="top"/>
          </w:tcPr>
          <w:p w14:paraId="5DB43FAE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852" w:type="dxa"/>
            <w:shd w:val="clear" w:color="auto" w:fill="auto"/>
            <w:vAlign w:val="top"/>
          </w:tcPr>
          <w:p w14:paraId="66FBDF7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67B979C0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5180B58F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1134" w:type="dxa"/>
            <w:shd w:val="clear" w:color="auto" w:fill="auto"/>
            <w:vAlign w:val="top"/>
          </w:tcPr>
          <w:p w14:paraId="51C1FDA0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 w:color="auto" w:fill="auto"/>
            <w:vAlign w:val="top"/>
          </w:tcPr>
          <w:p w14:paraId="1A2BB25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  <w:vAlign w:val="top"/>
          </w:tcPr>
          <w:p w14:paraId="1964F3C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146A6F6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4253" w:type="dxa"/>
            <w:shd w:val="clear" w:color="auto" w:fill="auto"/>
            <w:vAlign w:val="top"/>
          </w:tcPr>
          <w:p w14:paraId="71448864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139" w:type="dxa"/>
            <w:shd w:val="clear" w:color="auto" w:fill="auto"/>
            <w:vAlign w:val="top"/>
          </w:tcPr>
          <w:p w14:paraId="6D31555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5" w:type="dxa"/>
            <w:shd w:val="clear" w:color="auto" w:fill="auto"/>
            <w:vAlign w:val="top"/>
          </w:tcPr>
          <w:p w14:paraId="18A3015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7" w:type="dxa"/>
            <w:shd w:val="clear" w:color="auto" w:fill="auto"/>
            <w:vAlign w:val="top"/>
          </w:tcPr>
          <w:p w14:paraId="4076EBE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710" w:type="dxa"/>
            <w:shd w:val="clear" w:color="auto" w:fill="auto"/>
            <w:vAlign w:val="top"/>
          </w:tcPr>
          <w:p w14:paraId="2D45B8F8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710" w:type="dxa"/>
            <w:shd w:val="clear" w:color="auto" w:fill="auto"/>
            <w:vAlign w:val="top"/>
          </w:tcPr>
          <w:p w14:paraId="66D5BBB6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851" w:type="dxa"/>
            <w:shd w:val="clear" w:color="auto" w:fill="auto"/>
            <w:vAlign w:val="top"/>
          </w:tcPr>
          <w:p w14:paraId="308F291C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7F28D18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276" w:type="dxa"/>
            <w:shd w:val="clear" w:color="auto" w:fill="DBE5F1" w:themeFill="accent1" w:themeFillTint="33"/>
          </w:tcPr>
          <w:p w14:paraId="5BFB8814">
            <w:pPr>
              <w:jc w:val="right"/>
              <w:rPr>
                <w:b/>
                <w:sz w:val="18"/>
              </w:rPr>
            </w:pPr>
          </w:p>
        </w:tc>
        <w:tc>
          <w:tcPr>
            <w:tcW w:w="852" w:type="dxa"/>
            <w:shd w:val="clear" w:color="auto" w:fill="auto"/>
            <w:vAlign w:val="top"/>
          </w:tcPr>
          <w:p w14:paraId="5BA0454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1134" w:type="dxa"/>
            <w:shd w:val="clear" w:color="auto" w:fill="auto"/>
            <w:vAlign w:val="top"/>
          </w:tcPr>
          <w:p w14:paraId="2E8F733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87" w:type="dxa"/>
            <w:shd w:val="clear" w:color="auto" w:fill="auto"/>
            <w:vAlign w:val="top"/>
          </w:tcPr>
          <w:p w14:paraId="5044C3F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992" w:type="dxa"/>
            <w:shd w:val="clear" w:color="auto" w:fill="auto"/>
            <w:vAlign w:val="top"/>
          </w:tcPr>
          <w:p w14:paraId="791E247B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</w:tr>
      <w:tr w14:paraId="2E898148">
        <w:tblPrEx>
          <w:tblBorders>
            <w:top w:val="single" w:color="auto" w:sz="6" w:space="0"/>
            <w:left w:val="single" w:color="auto" w:sz="6" w:space="0"/>
            <w:bottom w:val="single" w:color="auto" w:sz="6" w:space="0"/>
            <w:right w:val="single" w:color="auto" w:sz="6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</w:trPr>
        <w:tc>
          <w:tcPr>
            <w:tcW w:w="0" w:type="auto"/>
            <w:shd w:val="clear" w:color="auto" w:fill="auto"/>
            <w:vAlign w:val="top"/>
          </w:tcPr>
          <w:p w14:paraId="12C411A9">
            <w:pPr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ИТОГО: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B455A5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674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5B38B7ED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68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2307F64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661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354B29C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425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BCE7D21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215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7F55254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85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472FD9A9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4</w:t>
            </w:r>
          </w:p>
        </w:tc>
        <w:tc>
          <w:tcPr>
            <w:tcW w:w="0" w:type="auto"/>
            <w:shd w:val="clear" w:color="auto" w:fill="DBE5F1" w:themeFill="accent1" w:themeFillTint="33"/>
            <w:vAlign w:val="top"/>
          </w:tcPr>
          <w:p w14:paraId="71A3DD6B">
            <w:pPr>
              <w:jc w:val="right"/>
              <w:rPr>
                <w:rFonts w:hint="default" w:ascii="Times New Roman" w:hAnsi="Times New Roman" w:eastAsia="Times New Roman" w:cs="Times New Roman"/>
                <w:b/>
                <w:sz w:val="18"/>
                <w:lang w:val="en-US" w:eastAsia="ru-RU" w:bidi="ar-SA"/>
              </w:rPr>
            </w:pPr>
            <w:r>
              <w:rPr>
                <w:rFonts w:hint="default" w:cs="Times New Roman"/>
                <w:b/>
                <w:sz w:val="18"/>
                <w:lang w:val="en-US" w:eastAsia="ru-RU" w:bidi="ar-SA"/>
              </w:rPr>
              <w:t>0</w:t>
            </w:r>
            <w:bookmarkStart w:id="0" w:name="_GoBack"/>
            <w:bookmarkEnd w:id="0"/>
          </w:p>
        </w:tc>
        <w:tc>
          <w:tcPr>
            <w:tcW w:w="0" w:type="auto"/>
            <w:shd w:val="clear" w:color="auto" w:fill="auto"/>
            <w:vAlign w:val="top"/>
          </w:tcPr>
          <w:p w14:paraId="2D976A2A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320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15B47205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</w:p>
        </w:tc>
        <w:tc>
          <w:tcPr>
            <w:tcW w:w="0" w:type="auto"/>
            <w:shd w:val="clear" w:color="auto" w:fill="auto"/>
            <w:vAlign w:val="top"/>
          </w:tcPr>
          <w:p w14:paraId="3BE99A5E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268</w:t>
            </w:r>
          </w:p>
        </w:tc>
        <w:tc>
          <w:tcPr>
            <w:tcW w:w="0" w:type="auto"/>
            <w:shd w:val="clear" w:color="auto" w:fill="auto"/>
            <w:vAlign w:val="top"/>
          </w:tcPr>
          <w:p w14:paraId="7FC46AA3">
            <w:pPr>
              <w:jc w:val="right"/>
              <w:rPr>
                <w:rFonts w:ascii="Times New Roman" w:hAnsi="Times New Roman" w:eastAsia="Times New Roman" w:cs="Times New Roman"/>
                <w:sz w:val="18"/>
                <w:lang w:val="ru-RU" w:eastAsia="ru-RU" w:bidi="ar-SA"/>
              </w:rPr>
            </w:pPr>
            <w:r>
              <w:rPr>
                <w:sz w:val="18"/>
              </w:rPr>
              <w:t>118</w:t>
            </w:r>
          </w:p>
        </w:tc>
      </w:tr>
    </w:tbl>
    <w:p w14:paraId="059CF711">
      <w:pPr>
        <w:ind w:right="-221"/>
        <w:rPr>
          <w:sz w:val="24"/>
        </w:rPr>
      </w:pPr>
    </w:p>
    <w:p w14:paraId="520D9993">
      <w:pPr>
        <w:ind w:right="-221"/>
        <w:rPr>
          <w:sz w:val="24"/>
        </w:rPr>
      </w:pPr>
      <w:r>
        <w:rPr>
          <w:sz w:val="24"/>
        </w:rPr>
        <w:t xml:space="preserve">Начальник общего отдела                                                                                                                                                                   А.С. Давыдов                                 </w:t>
      </w:r>
      <w:r>
        <w:rPr>
          <w:sz w:val="24"/>
        </w:rPr>
        <w:tab/>
      </w:r>
    </w:p>
    <w:sectPr>
      <w:pgSz w:w="16834" w:h="11909" w:orient="landscape"/>
      <w:pgMar w:top="142" w:right="1440" w:bottom="1" w:left="1440" w:header="706" w:footer="706" w:gutter="0"/>
      <w:cols w:space="720" w:num="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SimHei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FFFFFB"/>
    <w:multiLevelType w:val="multilevel"/>
    <w:tmpl w:val="FFFFFFFB"/>
    <w:lvl w:ilvl="0" w:tentative="0">
      <w:start w:val="1"/>
      <w:numFmt w:val="decimal"/>
      <w:pStyle w:val="2"/>
      <w:lvlText w:val="%1."/>
      <w:legacy w:legacy="1" w:legacySpace="120" w:legacyIndent="432"/>
      <w:lvlJc w:val="left"/>
      <w:pPr>
        <w:ind w:left="357" w:hanging="432"/>
      </w:pPr>
    </w:lvl>
    <w:lvl w:ilvl="1" w:tentative="0">
      <w:start w:val="1"/>
      <w:numFmt w:val="decimal"/>
      <w:pStyle w:val="3"/>
      <w:lvlText w:val="%1.%2."/>
      <w:legacy w:legacy="1" w:legacySpace="120" w:legacyIndent="576"/>
      <w:lvlJc w:val="left"/>
      <w:pPr>
        <w:ind w:left="933" w:hanging="576"/>
      </w:pPr>
    </w:lvl>
    <w:lvl w:ilvl="2" w:tentative="0">
      <w:start w:val="1"/>
      <w:numFmt w:val="decimal"/>
      <w:pStyle w:val="4"/>
      <w:lvlText w:val="%1.%2.%3."/>
      <w:legacy w:legacy="1" w:legacySpace="120" w:legacyIndent="720"/>
      <w:lvlJc w:val="left"/>
      <w:pPr>
        <w:ind w:left="1077" w:hanging="720"/>
      </w:pPr>
    </w:lvl>
    <w:lvl w:ilvl="3" w:tentative="0">
      <w:start w:val="1"/>
      <w:numFmt w:val="decimal"/>
      <w:pStyle w:val="5"/>
      <w:lvlText w:val="%1.%2.%3.%4."/>
      <w:legacy w:legacy="1" w:legacySpace="120" w:legacyIndent="864"/>
      <w:lvlJc w:val="left"/>
      <w:pPr>
        <w:ind w:left="1219" w:hanging="864"/>
      </w:pPr>
    </w:lvl>
    <w:lvl w:ilvl="4" w:tentative="0">
      <w:start w:val="1"/>
      <w:numFmt w:val="decimal"/>
      <w:pStyle w:val="6"/>
      <w:lvlText w:val="%1.%2.%3.%4.%5"/>
      <w:legacy w:legacy="1" w:legacySpace="120" w:legacyIndent="1008"/>
      <w:lvlJc w:val="left"/>
      <w:pPr>
        <w:ind w:left="1365" w:hanging="1008"/>
      </w:pPr>
    </w:lvl>
    <w:lvl w:ilvl="5" w:tentative="0">
      <w:start w:val="1"/>
      <w:numFmt w:val="decimal"/>
      <w:pStyle w:val="7"/>
      <w:lvlText w:val="%1.%2.%3.%4.%5.%6"/>
      <w:legacy w:legacy="1" w:legacySpace="120" w:legacyIndent="1152"/>
      <w:lvlJc w:val="left"/>
      <w:pPr>
        <w:ind w:left="1509" w:hanging="1152"/>
      </w:pPr>
    </w:lvl>
    <w:lvl w:ilvl="6" w:tentative="0">
      <w:start w:val="1"/>
      <w:numFmt w:val="decimal"/>
      <w:pStyle w:val="8"/>
      <w:lvlText w:val="%1.%2.%3.%4.%5.%6.%7"/>
      <w:legacy w:legacy="1" w:legacySpace="120" w:legacyIndent="1296"/>
      <w:lvlJc w:val="left"/>
      <w:pPr>
        <w:ind w:left="1653" w:hanging="1296"/>
      </w:pPr>
    </w:lvl>
    <w:lvl w:ilvl="7" w:tentative="0">
      <w:start w:val="1"/>
      <w:numFmt w:val="decimal"/>
      <w:pStyle w:val="9"/>
      <w:lvlText w:val="%1.%2.%3.%4.%5.%6.%7.%8"/>
      <w:legacy w:legacy="1" w:legacySpace="120" w:legacyIndent="1440"/>
      <w:lvlJc w:val="left"/>
      <w:pPr>
        <w:ind w:left="1797" w:hanging="1440"/>
      </w:pPr>
    </w:lvl>
    <w:lvl w:ilvl="8" w:tentative="0">
      <w:start w:val="1"/>
      <w:numFmt w:val="decimal"/>
      <w:pStyle w:val="10"/>
      <w:lvlText w:val="%1.%2.%3.%4.%5.%6.%7.%8.%9"/>
      <w:legacy w:legacy="1" w:legacySpace="120" w:legacyIndent="1584"/>
      <w:lvlJc w:val="left"/>
      <w:pPr>
        <w:ind w:left="1941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5"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2B73"/>
    <w:rsid w:val="0000166C"/>
    <w:rsid w:val="00003903"/>
    <w:rsid w:val="00005795"/>
    <w:rsid w:val="00005B1C"/>
    <w:rsid w:val="00012317"/>
    <w:rsid w:val="00016FCC"/>
    <w:rsid w:val="000776E1"/>
    <w:rsid w:val="000818AF"/>
    <w:rsid w:val="00091078"/>
    <w:rsid w:val="000967AA"/>
    <w:rsid w:val="00097E5B"/>
    <w:rsid w:val="000A4BB5"/>
    <w:rsid w:val="000A5B75"/>
    <w:rsid w:val="000B1D06"/>
    <w:rsid w:val="000C1F3E"/>
    <w:rsid w:val="000F2AEF"/>
    <w:rsid w:val="00131B20"/>
    <w:rsid w:val="00152887"/>
    <w:rsid w:val="0015492D"/>
    <w:rsid w:val="0018040E"/>
    <w:rsid w:val="001914F9"/>
    <w:rsid w:val="00192880"/>
    <w:rsid w:val="001A03D5"/>
    <w:rsid w:val="001A1964"/>
    <w:rsid w:val="001E2EF9"/>
    <w:rsid w:val="002212A0"/>
    <w:rsid w:val="00227C5B"/>
    <w:rsid w:val="0029369A"/>
    <w:rsid w:val="002C116B"/>
    <w:rsid w:val="002D0CC3"/>
    <w:rsid w:val="002F5535"/>
    <w:rsid w:val="003462B3"/>
    <w:rsid w:val="003A0766"/>
    <w:rsid w:val="003B2662"/>
    <w:rsid w:val="003D0062"/>
    <w:rsid w:val="00430D4D"/>
    <w:rsid w:val="00442756"/>
    <w:rsid w:val="00462A66"/>
    <w:rsid w:val="00473A11"/>
    <w:rsid w:val="00475EE3"/>
    <w:rsid w:val="004951AF"/>
    <w:rsid w:val="004A53DB"/>
    <w:rsid w:val="004B0460"/>
    <w:rsid w:val="004B0DF9"/>
    <w:rsid w:val="004C60A2"/>
    <w:rsid w:val="004D22FD"/>
    <w:rsid w:val="00530197"/>
    <w:rsid w:val="005376CD"/>
    <w:rsid w:val="00573FC1"/>
    <w:rsid w:val="00583434"/>
    <w:rsid w:val="00587136"/>
    <w:rsid w:val="005941D9"/>
    <w:rsid w:val="00597BDC"/>
    <w:rsid w:val="005B2016"/>
    <w:rsid w:val="005D7BA7"/>
    <w:rsid w:val="006330EC"/>
    <w:rsid w:val="00637DB6"/>
    <w:rsid w:val="006531C5"/>
    <w:rsid w:val="00663481"/>
    <w:rsid w:val="00667F10"/>
    <w:rsid w:val="006711F0"/>
    <w:rsid w:val="00673C11"/>
    <w:rsid w:val="00692966"/>
    <w:rsid w:val="006B1DC7"/>
    <w:rsid w:val="006F38C2"/>
    <w:rsid w:val="00702952"/>
    <w:rsid w:val="007171C8"/>
    <w:rsid w:val="007172C3"/>
    <w:rsid w:val="00736D6B"/>
    <w:rsid w:val="00767F37"/>
    <w:rsid w:val="0078447D"/>
    <w:rsid w:val="007846DD"/>
    <w:rsid w:val="007F03E7"/>
    <w:rsid w:val="00814E57"/>
    <w:rsid w:val="0082026E"/>
    <w:rsid w:val="008309F6"/>
    <w:rsid w:val="00852E95"/>
    <w:rsid w:val="0088656E"/>
    <w:rsid w:val="00894B18"/>
    <w:rsid w:val="00895BA0"/>
    <w:rsid w:val="00897399"/>
    <w:rsid w:val="008A42A9"/>
    <w:rsid w:val="008A49EB"/>
    <w:rsid w:val="008C2C80"/>
    <w:rsid w:val="008D5570"/>
    <w:rsid w:val="00904120"/>
    <w:rsid w:val="00904769"/>
    <w:rsid w:val="009120D8"/>
    <w:rsid w:val="009179D3"/>
    <w:rsid w:val="00925023"/>
    <w:rsid w:val="0094482C"/>
    <w:rsid w:val="009911F8"/>
    <w:rsid w:val="009A1359"/>
    <w:rsid w:val="009C5F60"/>
    <w:rsid w:val="009C6B1F"/>
    <w:rsid w:val="009D72F8"/>
    <w:rsid w:val="009F5B1A"/>
    <w:rsid w:val="00A14374"/>
    <w:rsid w:val="00A24F78"/>
    <w:rsid w:val="00A34153"/>
    <w:rsid w:val="00A73309"/>
    <w:rsid w:val="00A73BCD"/>
    <w:rsid w:val="00A93A6D"/>
    <w:rsid w:val="00AB2B73"/>
    <w:rsid w:val="00AC29FE"/>
    <w:rsid w:val="00AE3A1E"/>
    <w:rsid w:val="00B06291"/>
    <w:rsid w:val="00B10B1A"/>
    <w:rsid w:val="00B11F41"/>
    <w:rsid w:val="00B146FA"/>
    <w:rsid w:val="00B320F3"/>
    <w:rsid w:val="00B356D9"/>
    <w:rsid w:val="00B4311A"/>
    <w:rsid w:val="00B74FD5"/>
    <w:rsid w:val="00B82FC4"/>
    <w:rsid w:val="00B90213"/>
    <w:rsid w:val="00B9418B"/>
    <w:rsid w:val="00BB283C"/>
    <w:rsid w:val="00BD02C4"/>
    <w:rsid w:val="00BD5598"/>
    <w:rsid w:val="00C4600A"/>
    <w:rsid w:val="00C4642F"/>
    <w:rsid w:val="00C476C7"/>
    <w:rsid w:val="00C5320D"/>
    <w:rsid w:val="00C719EB"/>
    <w:rsid w:val="00C84F48"/>
    <w:rsid w:val="00C92D9F"/>
    <w:rsid w:val="00D056BA"/>
    <w:rsid w:val="00D2476E"/>
    <w:rsid w:val="00D3295A"/>
    <w:rsid w:val="00D4663B"/>
    <w:rsid w:val="00D74242"/>
    <w:rsid w:val="00DB0842"/>
    <w:rsid w:val="00DC1FE1"/>
    <w:rsid w:val="00DC6914"/>
    <w:rsid w:val="00DD7456"/>
    <w:rsid w:val="00DE14C4"/>
    <w:rsid w:val="00E03E50"/>
    <w:rsid w:val="00E2052D"/>
    <w:rsid w:val="00E31BFC"/>
    <w:rsid w:val="00E457A8"/>
    <w:rsid w:val="00E607B0"/>
    <w:rsid w:val="00E62E67"/>
    <w:rsid w:val="00E6650E"/>
    <w:rsid w:val="00E66704"/>
    <w:rsid w:val="00E70F28"/>
    <w:rsid w:val="00E72FB5"/>
    <w:rsid w:val="00E936E3"/>
    <w:rsid w:val="00EA3B04"/>
    <w:rsid w:val="00EA5040"/>
    <w:rsid w:val="00EB03AB"/>
    <w:rsid w:val="00EC78B6"/>
    <w:rsid w:val="00ED6FD8"/>
    <w:rsid w:val="00EF5A45"/>
    <w:rsid w:val="00F17252"/>
    <w:rsid w:val="00F46E2B"/>
    <w:rsid w:val="00F517DB"/>
    <w:rsid w:val="00F74541"/>
    <w:rsid w:val="00F76063"/>
    <w:rsid w:val="00F94816"/>
    <w:rsid w:val="00FC53A5"/>
    <w:rsid w:val="00FE4E28"/>
    <w:rsid w:val="00FF5EC9"/>
    <w:rsid w:val="18591D72"/>
    <w:rsid w:val="21D1162A"/>
    <w:rsid w:val="2EAD287A"/>
    <w:rsid w:val="49F900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Times New Roma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lang w:val="ru-RU" w:eastAsia="ru-RU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0"/>
        <w:numId w:val="1"/>
      </w:numPr>
      <w:tabs>
        <w:tab w:val="left" w:pos="789"/>
      </w:tabs>
      <w:overflowPunct w:val="0"/>
      <w:autoSpaceDE w:val="0"/>
      <w:autoSpaceDN w:val="0"/>
      <w:adjustRightInd w:val="0"/>
      <w:spacing w:before="360" w:after="120"/>
      <w:ind w:firstLine="0"/>
      <w:jc w:val="center"/>
      <w:textAlignment w:val="baseline"/>
      <w:outlineLvl w:val="0"/>
    </w:pPr>
    <w:rPr>
      <w:b/>
      <w:caps/>
      <w:spacing w:val="40"/>
      <w:sz w:val="24"/>
    </w:rPr>
  </w:style>
  <w:style w:type="paragraph" w:styleId="3">
    <w:name w:val="heading 2"/>
    <w:basedOn w:val="1"/>
    <w:next w:val="1"/>
    <w:qFormat/>
    <w:uiPriority w:val="0"/>
    <w:pPr>
      <w:keepNext/>
      <w:numPr>
        <w:ilvl w:val="1"/>
        <w:numId w:val="1"/>
      </w:numPr>
      <w:tabs>
        <w:tab w:val="left" w:pos="933"/>
      </w:tabs>
      <w:overflowPunct w:val="0"/>
      <w:autoSpaceDE w:val="0"/>
      <w:autoSpaceDN w:val="0"/>
      <w:adjustRightInd w:val="0"/>
      <w:spacing w:before="120" w:after="120"/>
      <w:textAlignment w:val="baseline"/>
      <w:outlineLvl w:val="1"/>
    </w:pPr>
    <w:rPr>
      <w:b/>
      <w:smallCaps/>
      <w:sz w:val="24"/>
    </w:rPr>
  </w:style>
  <w:style w:type="paragraph" w:styleId="4">
    <w:name w:val="heading 3"/>
    <w:basedOn w:val="1"/>
    <w:next w:val="1"/>
    <w:qFormat/>
    <w:uiPriority w:val="0"/>
    <w:pPr>
      <w:keepNext/>
      <w:numPr>
        <w:ilvl w:val="2"/>
        <w:numId w:val="1"/>
      </w:numPr>
      <w:tabs>
        <w:tab w:val="left" w:pos="1077"/>
      </w:tabs>
      <w:overflowPunct w:val="0"/>
      <w:autoSpaceDE w:val="0"/>
      <w:autoSpaceDN w:val="0"/>
      <w:adjustRightInd w:val="0"/>
      <w:spacing w:before="120" w:after="120"/>
      <w:textAlignment w:val="baseline"/>
      <w:outlineLvl w:val="2"/>
    </w:pPr>
    <w:rPr>
      <w:b/>
      <w:i/>
      <w:sz w:val="24"/>
    </w:rPr>
  </w:style>
  <w:style w:type="paragraph" w:styleId="5">
    <w:name w:val="heading 4"/>
    <w:basedOn w:val="1"/>
    <w:next w:val="1"/>
    <w:qFormat/>
    <w:uiPriority w:val="0"/>
    <w:pPr>
      <w:keepNext/>
      <w:widowControl w:val="0"/>
      <w:numPr>
        <w:ilvl w:val="3"/>
        <w:numId w:val="1"/>
      </w:numPr>
      <w:tabs>
        <w:tab w:val="left" w:pos="1437"/>
      </w:tabs>
      <w:overflowPunct w:val="0"/>
      <w:autoSpaceDE w:val="0"/>
      <w:autoSpaceDN w:val="0"/>
      <w:adjustRightInd w:val="0"/>
      <w:spacing w:before="240" w:after="60"/>
      <w:ind w:hanging="862"/>
      <w:jc w:val="both"/>
      <w:textAlignment w:val="baseline"/>
      <w:outlineLvl w:val="3"/>
    </w:pPr>
    <w:rPr>
      <w:b/>
      <w:sz w:val="24"/>
    </w:rPr>
  </w:style>
  <w:style w:type="paragraph" w:styleId="6">
    <w:name w:val="heading 5"/>
    <w:basedOn w:val="1"/>
    <w:next w:val="1"/>
    <w:qFormat/>
    <w:uiPriority w:val="0"/>
    <w:pPr>
      <w:keepNext/>
      <w:numPr>
        <w:ilvl w:val="4"/>
        <w:numId w:val="1"/>
      </w:numPr>
      <w:tabs>
        <w:tab w:val="left" w:pos="1365"/>
      </w:tabs>
      <w:overflowPunct w:val="0"/>
      <w:autoSpaceDE w:val="0"/>
      <w:autoSpaceDN w:val="0"/>
      <w:adjustRightInd w:val="0"/>
      <w:textAlignment w:val="baseline"/>
      <w:outlineLvl w:val="4"/>
    </w:pPr>
    <w:rPr>
      <w:sz w:val="24"/>
    </w:rPr>
  </w:style>
  <w:style w:type="paragraph" w:styleId="7">
    <w:name w:val="heading 6"/>
    <w:basedOn w:val="1"/>
    <w:next w:val="1"/>
    <w:qFormat/>
    <w:uiPriority w:val="0"/>
    <w:pPr>
      <w:keepNext/>
      <w:numPr>
        <w:ilvl w:val="5"/>
        <w:numId w:val="1"/>
      </w:numPr>
      <w:tabs>
        <w:tab w:val="left" w:pos="1509"/>
      </w:tabs>
      <w:overflowPunct w:val="0"/>
      <w:autoSpaceDE w:val="0"/>
      <w:autoSpaceDN w:val="0"/>
      <w:adjustRightInd w:val="0"/>
      <w:textAlignment w:val="baseline"/>
      <w:outlineLvl w:val="5"/>
    </w:pPr>
    <w:rPr>
      <w:b/>
    </w:rPr>
  </w:style>
  <w:style w:type="paragraph" w:styleId="8">
    <w:name w:val="heading 7"/>
    <w:basedOn w:val="1"/>
    <w:next w:val="1"/>
    <w:qFormat/>
    <w:uiPriority w:val="0"/>
    <w:pPr>
      <w:keepNext/>
      <w:pageBreakBefore/>
      <w:numPr>
        <w:ilvl w:val="6"/>
        <w:numId w:val="1"/>
      </w:numPr>
      <w:tabs>
        <w:tab w:val="left" w:pos="1653"/>
      </w:tabs>
      <w:overflowPunct w:val="0"/>
      <w:autoSpaceDE w:val="0"/>
      <w:autoSpaceDN w:val="0"/>
      <w:adjustRightInd w:val="0"/>
      <w:jc w:val="center"/>
      <w:textAlignment w:val="baseline"/>
      <w:outlineLvl w:val="6"/>
    </w:pPr>
    <w:rPr>
      <w:sz w:val="24"/>
    </w:rPr>
  </w:style>
  <w:style w:type="paragraph" w:styleId="9">
    <w:name w:val="heading 8"/>
    <w:basedOn w:val="1"/>
    <w:next w:val="1"/>
    <w:qFormat/>
    <w:uiPriority w:val="0"/>
    <w:pPr>
      <w:numPr>
        <w:ilvl w:val="7"/>
        <w:numId w:val="1"/>
      </w:numPr>
      <w:tabs>
        <w:tab w:val="left" w:pos="1797"/>
      </w:tabs>
      <w:overflowPunct w:val="0"/>
      <w:autoSpaceDE w:val="0"/>
      <w:autoSpaceDN w:val="0"/>
      <w:adjustRightInd w:val="0"/>
      <w:spacing w:before="240" w:after="60"/>
      <w:textAlignment w:val="baseline"/>
      <w:outlineLvl w:val="7"/>
    </w:pPr>
    <w:rPr>
      <w:rFonts w:ascii="Arial" w:hAnsi="Arial"/>
      <w:i/>
    </w:rPr>
  </w:style>
  <w:style w:type="paragraph" w:styleId="10">
    <w:name w:val="heading 9"/>
    <w:basedOn w:val="1"/>
    <w:next w:val="1"/>
    <w:qFormat/>
    <w:uiPriority w:val="0"/>
    <w:pPr>
      <w:numPr>
        <w:ilvl w:val="8"/>
        <w:numId w:val="1"/>
      </w:numPr>
      <w:tabs>
        <w:tab w:val="left" w:pos="1941"/>
      </w:tabs>
      <w:overflowPunct w:val="0"/>
      <w:autoSpaceDE w:val="0"/>
      <w:autoSpaceDN w:val="0"/>
      <w:adjustRightInd w:val="0"/>
      <w:spacing w:before="240" w:after="60"/>
      <w:textAlignment w:val="baseline"/>
      <w:outlineLvl w:val="8"/>
    </w:pPr>
    <w:rPr>
      <w:rFonts w:ascii="Arial" w:hAnsi="Arial"/>
      <w:b/>
      <w:i/>
      <w:sz w:val="18"/>
    </w:rPr>
  </w:style>
  <w:style w:type="character" w:default="1" w:styleId="11">
    <w:name w:val="Default Paragraph Font"/>
    <w:semiHidden/>
    <w:unhideWhenUsed/>
    <w:qFormat/>
    <w:uiPriority w:val="1"/>
  </w:style>
  <w:style w:type="table" w:default="1" w:styleId="1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it</Company>
  <Pages>1</Pages>
  <Words>350</Words>
  <Characters>2001</Characters>
  <Lines>16</Lines>
  <Paragraphs>4</Paragraphs>
  <TotalTime>1</TotalTime>
  <ScaleCrop>false</ScaleCrop>
  <LinksUpToDate>false</LinksUpToDate>
  <CharactersWithSpaces>2347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2018-01-12T07:05:00Z</dcterms:created>
  <dc:creator>Масасина Светлана Леонидовна</dc:creator>
  <cp:lastModifiedBy>Fortuna</cp:lastModifiedBy>
  <dcterms:modified xsi:type="dcterms:W3CDTF">2026-06-27T20:36:56Z</dcterms:modified>
  <dc:title>Министерство Российской Федерации по налогам и сборам</dc:title>
  <cp:revision>166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A4FD08065E5441E5B077D54DF74F5463_12</vt:lpwstr>
  </property>
</Properties>
</file>