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 01.0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>.2026 по 31.0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>.2026</w:t>
      </w:r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6CA2493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bookmarkStart w:id="0" w:name="_GoBack" w:colFirst="9" w:colLast="12"/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  <w:shd w:val="clear"/>
            <w:vAlign w:val="top"/>
          </w:tcPr>
          <w:p w14:paraId="28DF186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985" w:type="dxa"/>
            <w:shd w:val="clear"/>
            <w:vAlign w:val="top"/>
          </w:tcPr>
          <w:p w14:paraId="11B8BA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1277" w:type="dxa"/>
            <w:shd w:val="clear"/>
            <w:vAlign w:val="top"/>
          </w:tcPr>
          <w:p w14:paraId="76D6D2F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2A67C56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10" w:type="dxa"/>
            <w:shd w:val="clear"/>
            <w:vAlign w:val="top"/>
          </w:tcPr>
          <w:p w14:paraId="6A0D47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  <w:shd w:val="clear"/>
            <w:vAlign w:val="top"/>
          </w:tcPr>
          <w:p w14:paraId="1A716B9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0C3A11B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1F6A471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4B367E1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048F59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0A60990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06B57227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03. Общий отдел</w:t>
            </w:r>
          </w:p>
        </w:tc>
        <w:tc>
          <w:tcPr>
            <w:tcW w:w="1139" w:type="dxa"/>
            <w:shd w:val="clear"/>
            <w:vAlign w:val="top"/>
          </w:tcPr>
          <w:p w14:paraId="79E8FCD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/>
            <w:vAlign w:val="top"/>
          </w:tcPr>
          <w:p w14:paraId="7A38803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  <w:shd w:val="clear"/>
            <w:vAlign w:val="top"/>
          </w:tcPr>
          <w:p w14:paraId="649AF21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2745C3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3A5AB47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/>
            <w:vAlign w:val="top"/>
          </w:tcPr>
          <w:p w14:paraId="44CAAC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2E3823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6B9369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113005E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A5E83B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16EF20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58C7421D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05. Отдел информационной безопасности и информационных технологий</w:t>
            </w:r>
          </w:p>
        </w:tc>
        <w:tc>
          <w:tcPr>
            <w:tcW w:w="1139" w:type="dxa"/>
            <w:shd w:val="clear"/>
            <w:vAlign w:val="top"/>
          </w:tcPr>
          <w:p w14:paraId="6F402E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/>
            <w:vAlign w:val="top"/>
          </w:tcPr>
          <w:p w14:paraId="0C4F2C6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546780E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21C8DFB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323AE8A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/>
            <w:vAlign w:val="top"/>
          </w:tcPr>
          <w:p w14:paraId="18FC874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2ADF114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19FDE6A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3C85E89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8398A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  <w:shd w:val="clear"/>
            <w:vAlign w:val="top"/>
          </w:tcPr>
          <w:p w14:paraId="527020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1D11342E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07. Отдел оказания государственных услуг</w:t>
            </w:r>
          </w:p>
        </w:tc>
        <w:tc>
          <w:tcPr>
            <w:tcW w:w="1139" w:type="dxa"/>
            <w:shd w:val="clear"/>
            <w:vAlign w:val="top"/>
          </w:tcPr>
          <w:p w14:paraId="380B85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85" w:type="dxa"/>
            <w:shd w:val="clear"/>
            <w:vAlign w:val="top"/>
          </w:tcPr>
          <w:p w14:paraId="2D06B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76E6F53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  <w:shd w:val="clear"/>
            <w:vAlign w:val="top"/>
          </w:tcPr>
          <w:p w14:paraId="155A61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  <w:shd w:val="clear"/>
            <w:vAlign w:val="top"/>
          </w:tcPr>
          <w:p w14:paraId="4752A50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  <w:shd w:val="clear"/>
            <w:vAlign w:val="top"/>
          </w:tcPr>
          <w:p w14:paraId="4892CF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/>
            <w:vAlign w:val="top"/>
          </w:tcPr>
          <w:p w14:paraId="43398F8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044390B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  <w:shd w:val="clear"/>
            <w:vAlign w:val="top"/>
          </w:tcPr>
          <w:p w14:paraId="2F126F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15CB59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92" w:type="dxa"/>
            <w:shd w:val="clear"/>
            <w:vAlign w:val="top"/>
          </w:tcPr>
          <w:p w14:paraId="0CAEF0D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59839CDC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08. Отдел регистрации и учета налогоплательщиков №1</w:t>
            </w:r>
          </w:p>
        </w:tc>
        <w:tc>
          <w:tcPr>
            <w:tcW w:w="1139" w:type="dxa"/>
            <w:shd w:val="clear"/>
            <w:vAlign w:val="top"/>
          </w:tcPr>
          <w:p w14:paraId="29257B8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985" w:type="dxa"/>
            <w:shd w:val="clear"/>
            <w:vAlign w:val="top"/>
          </w:tcPr>
          <w:p w14:paraId="1E00376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0959D94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10" w:type="dxa"/>
            <w:shd w:val="clear"/>
            <w:vAlign w:val="top"/>
          </w:tcPr>
          <w:p w14:paraId="56F0A25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10" w:type="dxa"/>
            <w:shd w:val="clear"/>
            <w:vAlign w:val="top"/>
          </w:tcPr>
          <w:p w14:paraId="689032D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1" w:type="dxa"/>
            <w:shd w:val="clear"/>
            <w:vAlign w:val="top"/>
          </w:tcPr>
          <w:p w14:paraId="7EFABF5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  <w:shd w:val="clear"/>
            <w:vAlign w:val="top"/>
          </w:tcPr>
          <w:p w14:paraId="748B3BA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6BA6561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1134" w:type="dxa"/>
            <w:shd w:val="clear"/>
            <w:vAlign w:val="top"/>
          </w:tcPr>
          <w:p w14:paraId="6740D86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3DBA44E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  <w:shd w:val="clear"/>
            <w:vAlign w:val="top"/>
          </w:tcPr>
          <w:p w14:paraId="2DF129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17</w:t>
            </w: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705C814B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09. Отдел регистрации и учета налогоплательщиков №2</w:t>
            </w:r>
          </w:p>
        </w:tc>
        <w:tc>
          <w:tcPr>
            <w:tcW w:w="1139" w:type="dxa"/>
            <w:shd w:val="clear"/>
            <w:vAlign w:val="top"/>
          </w:tcPr>
          <w:p w14:paraId="27D91B0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85" w:type="dxa"/>
            <w:shd w:val="clear"/>
            <w:vAlign w:val="top"/>
          </w:tcPr>
          <w:p w14:paraId="4EEF7E7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54D4672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0" w:type="dxa"/>
            <w:shd w:val="clear"/>
            <w:vAlign w:val="top"/>
          </w:tcPr>
          <w:p w14:paraId="7386835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0" w:type="dxa"/>
            <w:shd w:val="clear"/>
            <w:vAlign w:val="top"/>
          </w:tcPr>
          <w:p w14:paraId="0A6A36B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  <w:shd w:val="clear"/>
            <w:vAlign w:val="top"/>
          </w:tcPr>
          <w:p w14:paraId="27C2D41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/>
            <w:vAlign w:val="top"/>
          </w:tcPr>
          <w:p w14:paraId="784F519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58D74A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134" w:type="dxa"/>
            <w:shd w:val="clear"/>
            <w:vAlign w:val="top"/>
          </w:tcPr>
          <w:p w14:paraId="5643B0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DCF4B6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148D32B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27C707B2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  <w:shd w:val="clear"/>
            <w:vAlign w:val="top"/>
          </w:tcPr>
          <w:p w14:paraId="197F05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985" w:type="dxa"/>
            <w:shd w:val="clear"/>
            <w:vAlign w:val="top"/>
          </w:tcPr>
          <w:p w14:paraId="3914A77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6868D4F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10" w:type="dxa"/>
            <w:shd w:val="clear"/>
            <w:vAlign w:val="top"/>
          </w:tcPr>
          <w:p w14:paraId="18C01BE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  <w:shd w:val="clear"/>
            <w:vAlign w:val="top"/>
          </w:tcPr>
          <w:p w14:paraId="1CFAF13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51" w:type="dxa"/>
            <w:shd w:val="clear"/>
            <w:vAlign w:val="top"/>
          </w:tcPr>
          <w:p w14:paraId="6203A5D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2" w:type="dxa"/>
            <w:shd w:val="clear"/>
            <w:vAlign w:val="top"/>
          </w:tcPr>
          <w:p w14:paraId="40FDF60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3AB061B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1134" w:type="dxa"/>
            <w:shd w:val="clear"/>
            <w:vAlign w:val="top"/>
          </w:tcPr>
          <w:p w14:paraId="1BA0777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61360C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992" w:type="dxa"/>
            <w:shd w:val="clear"/>
            <w:vAlign w:val="top"/>
          </w:tcPr>
          <w:p w14:paraId="6075732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5E2CAA39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  <w:shd w:val="clear"/>
            <w:vAlign w:val="top"/>
          </w:tcPr>
          <w:p w14:paraId="728B3D2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985" w:type="dxa"/>
            <w:shd w:val="clear"/>
            <w:vAlign w:val="top"/>
          </w:tcPr>
          <w:p w14:paraId="62B6B37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  <w:shd w:val="clear"/>
            <w:vAlign w:val="top"/>
          </w:tcPr>
          <w:p w14:paraId="161017C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10" w:type="dxa"/>
            <w:shd w:val="clear"/>
            <w:vAlign w:val="top"/>
          </w:tcPr>
          <w:p w14:paraId="026CF99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10" w:type="dxa"/>
            <w:shd w:val="clear"/>
            <w:vAlign w:val="top"/>
          </w:tcPr>
          <w:p w14:paraId="29AF2C6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851" w:type="dxa"/>
            <w:shd w:val="clear"/>
            <w:vAlign w:val="top"/>
          </w:tcPr>
          <w:p w14:paraId="4048625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52" w:type="dxa"/>
            <w:shd w:val="clear"/>
            <w:vAlign w:val="top"/>
          </w:tcPr>
          <w:p w14:paraId="33F251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36C835D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1134" w:type="dxa"/>
            <w:shd w:val="clear"/>
            <w:vAlign w:val="top"/>
          </w:tcPr>
          <w:p w14:paraId="39C6ACD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15E2446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992" w:type="dxa"/>
            <w:shd w:val="clear"/>
            <w:vAlign w:val="top"/>
          </w:tcPr>
          <w:p w14:paraId="2466B3A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2FCEEF10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12. Отдел камерального контроля налога на доходы физических лиц</w:t>
            </w:r>
          </w:p>
        </w:tc>
        <w:tc>
          <w:tcPr>
            <w:tcW w:w="1139" w:type="dxa"/>
            <w:shd w:val="clear"/>
            <w:vAlign w:val="top"/>
          </w:tcPr>
          <w:p w14:paraId="30B616C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85" w:type="dxa"/>
            <w:shd w:val="clear"/>
            <w:vAlign w:val="top"/>
          </w:tcPr>
          <w:p w14:paraId="54947B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5F483CF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  <w:shd w:val="clear"/>
            <w:vAlign w:val="top"/>
          </w:tcPr>
          <w:p w14:paraId="71584C0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6368F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  <w:shd w:val="clear"/>
            <w:vAlign w:val="top"/>
          </w:tcPr>
          <w:p w14:paraId="4E183D9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  <w:shd w:val="clear"/>
            <w:vAlign w:val="top"/>
          </w:tcPr>
          <w:p w14:paraId="130092C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27E666B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  <w:shd w:val="clear"/>
            <w:vAlign w:val="top"/>
          </w:tcPr>
          <w:p w14:paraId="4D0035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1C021B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92" w:type="dxa"/>
            <w:shd w:val="clear"/>
            <w:vAlign w:val="top"/>
          </w:tcPr>
          <w:p w14:paraId="17E5334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47D0FEA1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13. Отдел камерального контроля налога на доходы</w:t>
            </w:r>
          </w:p>
        </w:tc>
        <w:tc>
          <w:tcPr>
            <w:tcW w:w="1139" w:type="dxa"/>
            <w:shd w:val="clear"/>
            <w:vAlign w:val="top"/>
          </w:tcPr>
          <w:p w14:paraId="37C54C3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985" w:type="dxa"/>
            <w:shd w:val="clear"/>
            <w:vAlign w:val="top"/>
          </w:tcPr>
          <w:p w14:paraId="270AB3A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6099D77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10" w:type="dxa"/>
            <w:shd w:val="clear"/>
            <w:vAlign w:val="top"/>
          </w:tcPr>
          <w:p w14:paraId="08EAED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  <w:shd w:val="clear"/>
            <w:vAlign w:val="top"/>
          </w:tcPr>
          <w:p w14:paraId="37A562F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  <w:shd w:val="clear"/>
            <w:vAlign w:val="top"/>
          </w:tcPr>
          <w:p w14:paraId="5ED1C0E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2" w:type="dxa"/>
            <w:shd w:val="clear"/>
            <w:vAlign w:val="top"/>
          </w:tcPr>
          <w:p w14:paraId="2FE1E90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1A45D3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1134" w:type="dxa"/>
            <w:shd w:val="clear"/>
            <w:vAlign w:val="top"/>
          </w:tcPr>
          <w:p w14:paraId="03C09D4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0F5EB14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92" w:type="dxa"/>
            <w:shd w:val="clear"/>
            <w:vAlign w:val="top"/>
          </w:tcPr>
          <w:p w14:paraId="3EC35C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6058B02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  <w:shd w:val="clear"/>
            <w:vAlign w:val="top"/>
          </w:tcPr>
          <w:p w14:paraId="456A17E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85" w:type="dxa"/>
            <w:shd w:val="clear"/>
            <w:vAlign w:val="top"/>
          </w:tcPr>
          <w:p w14:paraId="122446C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14BAE5F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  <w:shd w:val="clear"/>
            <w:vAlign w:val="top"/>
          </w:tcPr>
          <w:p w14:paraId="61148F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/>
            <w:vAlign w:val="top"/>
          </w:tcPr>
          <w:p w14:paraId="6CE2E34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  <w:shd w:val="clear"/>
            <w:vAlign w:val="top"/>
          </w:tcPr>
          <w:p w14:paraId="5735BC4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  <w:shd w:val="clear"/>
            <w:vAlign w:val="top"/>
          </w:tcPr>
          <w:p w14:paraId="43851DD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28FA642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  <w:shd w:val="clear"/>
            <w:vAlign w:val="top"/>
          </w:tcPr>
          <w:p w14:paraId="28E1DFA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C4EB4B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  <w:shd w:val="clear"/>
            <w:vAlign w:val="top"/>
          </w:tcPr>
          <w:p w14:paraId="72775AD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31E6B315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15. Отдел камерального контроля налога на добавленную стоимость № 1</w:t>
            </w:r>
          </w:p>
        </w:tc>
        <w:tc>
          <w:tcPr>
            <w:tcW w:w="1139" w:type="dxa"/>
            <w:shd w:val="clear"/>
            <w:vAlign w:val="top"/>
          </w:tcPr>
          <w:p w14:paraId="7A70EBB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85" w:type="dxa"/>
            <w:shd w:val="clear"/>
            <w:vAlign w:val="top"/>
          </w:tcPr>
          <w:p w14:paraId="590FC96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4DAF8E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  <w:shd w:val="clear"/>
            <w:vAlign w:val="top"/>
          </w:tcPr>
          <w:p w14:paraId="62EF236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  <w:shd w:val="clear"/>
            <w:vAlign w:val="top"/>
          </w:tcPr>
          <w:p w14:paraId="0B2EF1D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/>
            <w:vAlign w:val="top"/>
          </w:tcPr>
          <w:p w14:paraId="230014B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  <w:shd w:val="clear"/>
            <w:vAlign w:val="top"/>
          </w:tcPr>
          <w:p w14:paraId="55270A3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15D560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  <w:shd w:val="clear"/>
            <w:vAlign w:val="top"/>
          </w:tcPr>
          <w:p w14:paraId="35D9447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6B24A0A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  <w:shd w:val="clear"/>
            <w:vAlign w:val="top"/>
          </w:tcPr>
          <w:p w14:paraId="773450E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7228C1B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16. Отдел камерального контроля налога на добавленную стоимость № 2</w:t>
            </w:r>
          </w:p>
        </w:tc>
        <w:tc>
          <w:tcPr>
            <w:tcW w:w="1139" w:type="dxa"/>
            <w:shd w:val="clear"/>
            <w:vAlign w:val="top"/>
          </w:tcPr>
          <w:p w14:paraId="209BD79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85" w:type="dxa"/>
            <w:shd w:val="clear"/>
            <w:vAlign w:val="top"/>
          </w:tcPr>
          <w:p w14:paraId="15AA23C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3B2C63E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10" w:type="dxa"/>
            <w:shd w:val="clear"/>
            <w:vAlign w:val="top"/>
          </w:tcPr>
          <w:p w14:paraId="3101C5D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  <w:shd w:val="clear"/>
            <w:vAlign w:val="top"/>
          </w:tcPr>
          <w:p w14:paraId="2C0F03E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  <w:shd w:val="clear"/>
            <w:vAlign w:val="top"/>
          </w:tcPr>
          <w:p w14:paraId="5714622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4406010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730DA7E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34" w:type="dxa"/>
            <w:shd w:val="clear"/>
            <w:vAlign w:val="top"/>
          </w:tcPr>
          <w:p w14:paraId="6DEEACA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8630A0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  <w:shd w:val="clear"/>
            <w:vAlign w:val="top"/>
          </w:tcPr>
          <w:p w14:paraId="0A850D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24337982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17. Отдел выездных налоговых проверок № 1</w:t>
            </w:r>
          </w:p>
        </w:tc>
        <w:tc>
          <w:tcPr>
            <w:tcW w:w="1139" w:type="dxa"/>
            <w:shd w:val="clear"/>
            <w:vAlign w:val="top"/>
          </w:tcPr>
          <w:p w14:paraId="65C9478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  <w:shd w:val="clear"/>
            <w:vAlign w:val="top"/>
          </w:tcPr>
          <w:p w14:paraId="75C9843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4EE330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/>
            <w:vAlign w:val="top"/>
          </w:tcPr>
          <w:p w14:paraId="7CD94F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37BCE2E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/>
            <w:vAlign w:val="top"/>
          </w:tcPr>
          <w:p w14:paraId="645989F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  <w:shd w:val="clear"/>
            <w:vAlign w:val="top"/>
          </w:tcPr>
          <w:p w14:paraId="5A0E9E9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29B20F4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2F01DDB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75A32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92" w:type="dxa"/>
            <w:shd w:val="clear"/>
            <w:vAlign w:val="top"/>
          </w:tcPr>
          <w:p w14:paraId="105BD4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6212A454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18. Отдел выездных налоговых проверок № 2</w:t>
            </w:r>
          </w:p>
        </w:tc>
        <w:tc>
          <w:tcPr>
            <w:tcW w:w="1139" w:type="dxa"/>
            <w:shd w:val="clear"/>
            <w:vAlign w:val="top"/>
          </w:tcPr>
          <w:p w14:paraId="003708D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85" w:type="dxa"/>
            <w:shd w:val="clear"/>
            <w:vAlign w:val="top"/>
          </w:tcPr>
          <w:p w14:paraId="5A5B60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7EA3F8C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  <w:shd w:val="clear"/>
            <w:vAlign w:val="top"/>
          </w:tcPr>
          <w:p w14:paraId="738B43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  <w:shd w:val="clear"/>
            <w:vAlign w:val="top"/>
          </w:tcPr>
          <w:p w14:paraId="40B9DB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/>
            <w:vAlign w:val="top"/>
          </w:tcPr>
          <w:p w14:paraId="351EEAB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7E1F75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0AB8A3D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34" w:type="dxa"/>
            <w:shd w:val="clear"/>
            <w:vAlign w:val="top"/>
          </w:tcPr>
          <w:p w14:paraId="68723E8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01D5AF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7DBCFE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0EE660FC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20. Отдел предпроверочного анализа и планирования налоговых проверок</w:t>
            </w:r>
          </w:p>
        </w:tc>
        <w:tc>
          <w:tcPr>
            <w:tcW w:w="1139" w:type="dxa"/>
            <w:shd w:val="clear"/>
            <w:vAlign w:val="top"/>
          </w:tcPr>
          <w:p w14:paraId="3723595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  <w:shd w:val="clear"/>
            <w:vAlign w:val="top"/>
          </w:tcPr>
          <w:p w14:paraId="62276ED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1DD421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6E0A55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1D6BD90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/>
            <w:vAlign w:val="top"/>
          </w:tcPr>
          <w:p w14:paraId="4D7207C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2AA26C5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61A0035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  <w:shd w:val="clear"/>
            <w:vAlign w:val="top"/>
          </w:tcPr>
          <w:p w14:paraId="52ACD41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4B50FB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7CC5925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2DE1E6D8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21. Отдел оперативного контроля</w:t>
            </w:r>
          </w:p>
        </w:tc>
        <w:tc>
          <w:tcPr>
            <w:tcW w:w="1139" w:type="dxa"/>
            <w:shd w:val="clear"/>
            <w:vAlign w:val="top"/>
          </w:tcPr>
          <w:p w14:paraId="4E61B87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985" w:type="dxa"/>
            <w:shd w:val="clear"/>
            <w:vAlign w:val="top"/>
          </w:tcPr>
          <w:p w14:paraId="15EDCE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5F100E2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10" w:type="dxa"/>
            <w:shd w:val="clear"/>
            <w:vAlign w:val="top"/>
          </w:tcPr>
          <w:p w14:paraId="05FADDA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  <w:shd w:val="clear"/>
            <w:vAlign w:val="top"/>
          </w:tcPr>
          <w:p w14:paraId="04155AE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  <w:shd w:val="clear"/>
            <w:vAlign w:val="top"/>
          </w:tcPr>
          <w:p w14:paraId="424E367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2" w:type="dxa"/>
            <w:shd w:val="clear"/>
            <w:vAlign w:val="top"/>
          </w:tcPr>
          <w:p w14:paraId="4D8BB96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2030138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34" w:type="dxa"/>
            <w:shd w:val="clear"/>
            <w:vAlign w:val="top"/>
          </w:tcPr>
          <w:p w14:paraId="6F694D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35C74C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  <w:shd w:val="clear"/>
            <w:vAlign w:val="top"/>
          </w:tcPr>
          <w:p w14:paraId="39BF66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038AAE7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23. Отдел урегулирования задолженности</w:t>
            </w:r>
          </w:p>
        </w:tc>
        <w:tc>
          <w:tcPr>
            <w:tcW w:w="1139" w:type="dxa"/>
            <w:shd w:val="clear"/>
            <w:vAlign w:val="top"/>
          </w:tcPr>
          <w:p w14:paraId="7A5329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85" w:type="dxa"/>
            <w:shd w:val="clear"/>
            <w:vAlign w:val="top"/>
          </w:tcPr>
          <w:p w14:paraId="636439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7" w:type="dxa"/>
            <w:shd w:val="clear"/>
            <w:vAlign w:val="top"/>
          </w:tcPr>
          <w:p w14:paraId="16F7200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  <w:shd w:val="clear"/>
            <w:vAlign w:val="top"/>
          </w:tcPr>
          <w:p w14:paraId="2193A8D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/>
            <w:vAlign w:val="top"/>
          </w:tcPr>
          <w:p w14:paraId="38C04DB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  <w:shd w:val="clear"/>
            <w:vAlign w:val="top"/>
          </w:tcPr>
          <w:p w14:paraId="44714B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  <w:shd w:val="clear"/>
            <w:vAlign w:val="top"/>
          </w:tcPr>
          <w:p w14:paraId="495C03E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79F5836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  <w:shd w:val="clear"/>
            <w:vAlign w:val="top"/>
          </w:tcPr>
          <w:p w14:paraId="5ABE3F1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4F870BD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92" w:type="dxa"/>
            <w:shd w:val="clear"/>
            <w:vAlign w:val="top"/>
          </w:tcPr>
          <w:p w14:paraId="0ADD9FE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2A3257DF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25. Правовой отдел № 1</w:t>
            </w:r>
          </w:p>
        </w:tc>
        <w:tc>
          <w:tcPr>
            <w:tcW w:w="1139" w:type="dxa"/>
            <w:shd w:val="clear"/>
            <w:vAlign w:val="top"/>
          </w:tcPr>
          <w:p w14:paraId="6861DE5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</w:p>
        </w:tc>
        <w:tc>
          <w:tcPr>
            <w:tcW w:w="985" w:type="dxa"/>
            <w:shd w:val="clear"/>
            <w:vAlign w:val="top"/>
          </w:tcPr>
          <w:p w14:paraId="0D9C02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3516FB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4DB0A6C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0CFBF2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/>
            <w:vAlign w:val="top"/>
          </w:tcPr>
          <w:p w14:paraId="388B0FB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49E6017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7A0088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0184189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43B115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  <w:shd w:val="clear"/>
            <w:vAlign w:val="top"/>
          </w:tcPr>
          <w:p w14:paraId="7B8A214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681A7A9A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26 - Правовой отдел № 2</w:t>
            </w:r>
          </w:p>
        </w:tc>
        <w:tc>
          <w:tcPr>
            <w:tcW w:w="1139" w:type="dxa"/>
            <w:shd w:val="clear"/>
            <w:vAlign w:val="top"/>
          </w:tcPr>
          <w:p w14:paraId="5ADE64F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/>
            <w:vAlign w:val="top"/>
          </w:tcPr>
          <w:p w14:paraId="20D3938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6FD030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/>
            <w:vAlign w:val="top"/>
          </w:tcPr>
          <w:p w14:paraId="20DFE71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48B187D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/>
            <w:vAlign w:val="top"/>
          </w:tcPr>
          <w:p w14:paraId="5DB43FA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/>
            <w:vAlign w:val="top"/>
          </w:tcPr>
          <w:p w14:paraId="66FBDF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5180B58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51C1FDA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1A2BB2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1964F3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/>
            <w:vAlign w:val="top"/>
          </w:tcPr>
          <w:p w14:paraId="71448864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27. Правовой отдел № 3</w:t>
            </w:r>
          </w:p>
        </w:tc>
        <w:tc>
          <w:tcPr>
            <w:tcW w:w="1139" w:type="dxa"/>
            <w:shd w:val="clear"/>
            <w:vAlign w:val="top"/>
          </w:tcPr>
          <w:p w14:paraId="6D31555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/>
            <w:vAlign w:val="top"/>
          </w:tcPr>
          <w:p w14:paraId="18A301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/>
            <w:vAlign w:val="top"/>
          </w:tcPr>
          <w:p w14:paraId="4076EB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2D45B8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/>
            <w:vAlign w:val="top"/>
          </w:tcPr>
          <w:p w14:paraId="66D5BBB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/>
            <w:vAlign w:val="top"/>
          </w:tcPr>
          <w:p w14:paraId="308F29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/>
            <w:vAlign w:val="top"/>
          </w:tcPr>
          <w:p w14:paraId="7F28D18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  <w:shd w:val="clear"/>
            <w:vAlign w:val="top"/>
          </w:tcPr>
          <w:p w14:paraId="5BA045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2E8F733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/>
            <w:vAlign w:val="top"/>
          </w:tcPr>
          <w:p w14:paraId="5044C3F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/>
            <w:vAlign w:val="top"/>
          </w:tcPr>
          <w:p w14:paraId="791E247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C431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shd w:val="clear"/>
            <w:vAlign w:val="top"/>
          </w:tcPr>
          <w:p w14:paraId="18AA22BE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6F3CDE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028BF6F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3B7557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7009038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30F09F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5A7798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0E1E68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 w:color="auto" w:fill="DBE5F1" w:themeFill="accent1" w:themeFillTint="33"/>
            <w:vAlign w:val="top"/>
          </w:tcPr>
          <w:p w14:paraId="76C7B214">
            <w:pPr>
              <w:jc w:val="right"/>
              <w:rPr>
                <w:rFonts w:ascii="Times New Roman" w:hAnsi="Times New Roman" w:eastAsia="Times New Roman" w:cs="Times New Roman"/>
                <w:b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2972DC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125034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6D36C6F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4CB3541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E8778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shd w:val="clear"/>
            <w:vAlign w:val="top"/>
          </w:tcPr>
          <w:p w14:paraId="5BC6BB09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0" w:type="auto"/>
            <w:shd w:val="clear"/>
            <w:vAlign w:val="top"/>
          </w:tcPr>
          <w:p w14:paraId="7962D83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412</w:t>
            </w:r>
          </w:p>
        </w:tc>
        <w:tc>
          <w:tcPr>
            <w:tcW w:w="0" w:type="auto"/>
            <w:shd w:val="clear"/>
            <w:vAlign w:val="top"/>
          </w:tcPr>
          <w:p w14:paraId="185D2B8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0" w:type="auto"/>
            <w:shd w:val="clear"/>
            <w:vAlign w:val="top"/>
          </w:tcPr>
          <w:p w14:paraId="2299BA1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354</w:t>
            </w:r>
          </w:p>
        </w:tc>
        <w:tc>
          <w:tcPr>
            <w:tcW w:w="0" w:type="auto"/>
            <w:shd w:val="clear"/>
            <w:vAlign w:val="top"/>
          </w:tcPr>
          <w:p w14:paraId="719F027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0" w:type="auto"/>
            <w:shd w:val="clear"/>
            <w:vAlign w:val="top"/>
          </w:tcPr>
          <w:p w14:paraId="11C0C07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0" w:type="auto"/>
            <w:shd w:val="clear"/>
            <w:vAlign w:val="top"/>
          </w:tcPr>
          <w:p w14:paraId="108A8C0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0" w:type="auto"/>
            <w:shd w:val="clear"/>
            <w:vAlign w:val="top"/>
          </w:tcPr>
          <w:p w14:paraId="6BD32B6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0" w:type="auto"/>
            <w:shd w:val="clear" w:color="auto" w:fill="DBE5F1" w:themeFill="accent1" w:themeFillTint="33"/>
            <w:vAlign w:val="top"/>
          </w:tcPr>
          <w:p w14:paraId="1AEB3D23">
            <w:pPr>
              <w:jc w:val="right"/>
              <w:rPr>
                <w:rFonts w:ascii="Times New Roman" w:hAnsi="Times New Roman" w:eastAsia="Times New Roman" w:cs="Times New Roman"/>
                <w:b/>
                <w:sz w:val="18"/>
                <w:lang w:val="ru-RU" w:eastAsia="ru-RU" w:bidi="ar-SA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0" w:type="auto"/>
            <w:shd w:val="clear"/>
            <w:vAlign w:val="top"/>
          </w:tcPr>
          <w:p w14:paraId="70C9303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0" w:type="auto"/>
            <w:shd w:val="clear"/>
            <w:vAlign w:val="top"/>
          </w:tcPr>
          <w:p w14:paraId="7DB620B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15A1ADF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0" w:type="auto"/>
            <w:shd w:val="clear"/>
            <w:vAlign w:val="top"/>
          </w:tcPr>
          <w:p w14:paraId="3E44366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17</w:t>
            </w:r>
          </w:p>
        </w:tc>
      </w:tr>
      <w:bookmarkEnd w:id="0"/>
    </w:tbl>
    <w:p w14:paraId="1F0EF8D2">
      <w:pPr>
        <w:ind w:right="-221"/>
        <w:rPr>
          <w:sz w:val="24"/>
        </w:rPr>
      </w:pPr>
    </w:p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142" w:right="1440" w:bottom="1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41D9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12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719EB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2EAD287A"/>
    <w:rsid w:val="49AE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350</Words>
  <Characters>2001</Characters>
  <Lines>16</Lines>
  <Paragraphs>4</Paragraphs>
  <TotalTime>0</TotalTime>
  <ScaleCrop>false</ScaleCrop>
  <LinksUpToDate>false</LinksUpToDate>
  <CharactersWithSpaces>2347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2026-06-27T20:17:07Z</dcterms:modified>
  <dc:title>Министерство Российской Федерации по налогам и сборам</dc:title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A4FD08065E5441E5B077D54DF74F5463_12</vt:lpwstr>
  </property>
</Properties>
</file>