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E2" w:rsidRPr="003A17E2" w:rsidRDefault="001E13F3" w:rsidP="003A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7E2">
        <w:rPr>
          <w:rFonts w:ascii="Times New Roman" w:hAnsi="Times New Roman" w:cs="Times New Roman"/>
          <w:b/>
          <w:sz w:val="26"/>
          <w:szCs w:val="26"/>
        </w:rPr>
        <w:t>Памятка налогоплательщика по п</w:t>
      </w:r>
      <w:r w:rsidR="00371CC6" w:rsidRPr="003A17E2">
        <w:rPr>
          <w:rFonts w:ascii="Times New Roman" w:hAnsi="Times New Roman" w:cs="Times New Roman"/>
          <w:b/>
          <w:sz w:val="26"/>
          <w:szCs w:val="26"/>
        </w:rPr>
        <w:t>редставлени</w:t>
      </w:r>
      <w:r w:rsidRPr="003A17E2">
        <w:rPr>
          <w:rFonts w:ascii="Times New Roman" w:hAnsi="Times New Roman" w:cs="Times New Roman"/>
          <w:b/>
          <w:sz w:val="26"/>
          <w:szCs w:val="26"/>
        </w:rPr>
        <w:t>ю</w:t>
      </w:r>
      <w:r w:rsidR="00371CC6" w:rsidRPr="003A17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7E2" w:rsidRPr="003A17E2">
        <w:rPr>
          <w:rFonts w:ascii="Times New Roman" w:hAnsi="Times New Roman" w:cs="Times New Roman"/>
          <w:b/>
          <w:sz w:val="26"/>
          <w:szCs w:val="26"/>
        </w:rPr>
        <w:t>расчета сумм налога на доходы физических лиц,</w:t>
      </w:r>
    </w:p>
    <w:p w:rsidR="00371CC6" w:rsidRPr="003A17E2" w:rsidRDefault="003A17E2" w:rsidP="003A1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7E2">
        <w:rPr>
          <w:rFonts w:ascii="Times New Roman" w:hAnsi="Times New Roman" w:cs="Times New Roman"/>
          <w:b/>
          <w:sz w:val="26"/>
          <w:szCs w:val="26"/>
        </w:rPr>
        <w:t>исчисленных и удержанных налоговым агентом (форма 6-НДФЛ)</w:t>
      </w:r>
      <w:r w:rsidR="00E35F40">
        <w:rPr>
          <w:rFonts w:ascii="Times New Roman" w:hAnsi="Times New Roman" w:cs="Times New Roman"/>
          <w:b/>
          <w:sz w:val="26"/>
          <w:szCs w:val="26"/>
        </w:rPr>
        <w:t xml:space="preserve"> и сведений о доходах физических лиц </w:t>
      </w:r>
    </w:p>
    <w:tbl>
      <w:tblPr>
        <w:tblpPr w:leftFromText="180" w:rightFromText="180" w:vertAnchor="page" w:horzAnchor="margin" w:tblpY="1096"/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6"/>
        <w:gridCol w:w="5422"/>
        <w:gridCol w:w="324"/>
        <w:gridCol w:w="7403"/>
      </w:tblGrid>
      <w:tr w:rsidR="000E47BA" w:rsidRPr="00CE4D54" w:rsidTr="000E47BA">
        <w:trPr>
          <w:trHeight w:val="558"/>
        </w:trPr>
        <w:tc>
          <w:tcPr>
            <w:tcW w:w="603" w:type="pct"/>
            <w:vMerge w:val="restar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Кем/куда представляется</w:t>
            </w:r>
          </w:p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pct"/>
            <w:gridSpan w:val="3"/>
          </w:tcPr>
          <w:p w:rsidR="000E47BA" w:rsidRPr="003A17E2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7BA">
              <w:rPr>
                <w:rFonts w:ascii="Times New Roman" w:hAnsi="Times New Roman" w:cs="Times New Roman"/>
                <w:b/>
              </w:rPr>
              <w:t xml:space="preserve">В налоговые органы по месту учёта налогового агента (юридического лица, индивидуального предпринимателя), </w:t>
            </w:r>
          </w:p>
          <w:p w:rsidR="000E47BA" w:rsidRP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E47BA">
              <w:rPr>
                <w:rFonts w:ascii="Times New Roman" w:hAnsi="Times New Roman" w:cs="Times New Roman"/>
                <w:b/>
              </w:rPr>
              <w:t xml:space="preserve">за исключением: </w:t>
            </w:r>
          </w:p>
        </w:tc>
      </w:tr>
      <w:tr w:rsidR="000E47BA" w:rsidRPr="00CE4D54" w:rsidTr="000E47BA">
        <w:trPr>
          <w:trHeight w:val="270"/>
        </w:trPr>
        <w:tc>
          <w:tcPr>
            <w:tcW w:w="603" w:type="pct"/>
            <w:vMerge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pct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4D54">
              <w:rPr>
                <w:rFonts w:ascii="Times New Roman" w:hAnsi="Times New Roman" w:cs="Times New Roman"/>
                <w:bCs/>
              </w:rPr>
              <w:t>Российские организации, имеющие обособленные подразделения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9" w:type="pct"/>
            <w:gridSpan w:val="2"/>
            <w:vAlign w:val="center"/>
          </w:tcPr>
          <w:p w:rsidR="003A17E2" w:rsidRPr="003A17E2" w:rsidRDefault="003A17E2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 xml:space="preserve">Индивидуальные предприниматели, которые состоят в налоговом органе на учете по месту осуществления деятельности </w:t>
            </w:r>
            <w:r w:rsidR="00E35F40">
              <w:rPr>
                <w:rFonts w:ascii="Times New Roman" w:hAnsi="Times New Roman" w:cs="Times New Roman"/>
              </w:rPr>
              <w:t xml:space="preserve">и (или) </w:t>
            </w:r>
            <w:r w:rsidRPr="00CE4D54">
              <w:rPr>
                <w:rFonts w:ascii="Times New Roman" w:hAnsi="Times New Roman" w:cs="Times New Roman"/>
              </w:rPr>
              <w:t>в связи с применением системы налогообложения в виде ПСН</w:t>
            </w:r>
          </w:p>
          <w:p w:rsidR="000E47BA" w:rsidRPr="003A17E2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E47BA" w:rsidRPr="00CE4D54" w:rsidTr="000E47BA">
        <w:trPr>
          <w:trHeight w:val="180"/>
        </w:trPr>
        <w:tc>
          <w:tcPr>
            <w:tcW w:w="603" w:type="pct"/>
            <w:vMerge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pct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4D54">
              <w:rPr>
                <w:rFonts w:ascii="Times New Roman" w:hAnsi="Times New Roman" w:cs="Times New Roman"/>
                <w:bCs/>
              </w:rPr>
              <w:t>В налоговый орган по месту учета обособленных подразделений</w:t>
            </w:r>
          </w:p>
          <w:p w:rsidR="000E47BA" w:rsidRPr="003A17E2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9" w:type="pct"/>
            <w:gridSpan w:val="2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В налоговый орган по месту своего учета в связи с осуществлением такой деятельности</w:t>
            </w:r>
          </w:p>
          <w:p w:rsidR="000E47BA" w:rsidRPr="003A17E2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7BA" w:rsidRPr="00CE4D54" w:rsidTr="000E47BA">
        <w:trPr>
          <w:trHeight w:val="269"/>
        </w:trPr>
        <w:tc>
          <w:tcPr>
            <w:tcW w:w="603" w:type="pct"/>
            <w:vMerge w:val="restar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Способ и условия представления (выдачи)</w:t>
            </w:r>
          </w:p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7" w:type="pct"/>
            <w:gridSpan w:val="3"/>
          </w:tcPr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47BA" w:rsidRP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Представляются налоговыми агентами в электронной форме по телекоммуникационным каналам связи.</w:t>
            </w:r>
          </w:p>
          <w:p w:rsidR="000E47BA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bookmarkStart w:id="0" w:name="_GoBack"/>
            <w:bookmarkEnd w:id="0"/>
          </w:p>
          <w:p w:rsidR="000E47BA" w:rsidRPr="000E47BA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E47BA" w:rsidRPr="00CE4D54" w:rsidTr="000E47BA">
        <w:trPr>
          <w:trHeight w:val="1137"/>
        </w:trPr>
        <w:tc>
          <w:tcPr>
            <w:tcW w:w="603" w:type="pct"/>
            <w:vMerge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4" w:type="pct"/>
            <w:gridSpan w:val="2"/>
          </w:tcPr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 xml:space="preserve">При численности физических лиц, получивших доходы в налоговом периоде, до </w:t>
            </w:r>
            <w:r>
              <w:rPr>
                <w:rFonts w:ascii="Times New Roman" w:hAnsi="Times New Roman" w:cs="Times New Roman"/>
              </w:rPr>
              <w:t>10</w:t>
            </w:r>
            <w:r w:rsidRPr="00CE4D54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D54">
              <w:rPr>
                <w:rFonts w:ascii="Times New Roman" w:hAnsi="Times New Roman" w:cs="Times New Roman"/>
              </w:rPr>
              <w:t xml:space="preserve"> электронной форме и</w:t>
            </w:r>
            <w:r>
              <w:rPr>
                <w:rFonts w:ascii="Times New Roman" w:hAnsi="Times New Roman" w:cs="Times New Roman"/>
              </w:rPr>
              <w:t>ли</w:t>
            </w:r>
            <w:r w:rsidRPr="00CE4D54">
              <w:rPr>
                <w:rFonts w:ascii="Times New Roman" w:hAnsi="Times New Roman" w:cs="Times New Roman"/>
              </w:rPr>
              <w:t xml:space="preserve"> на бумажных носителях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pct"/>
            <w:vAlign w:val="center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 xml:space="preserve">При численности физических лиц, получивших доходы в налоговом периоде, более </w:t>
            </w:r>
            <w:r>
              <w:rPr>
                <w:rFonts w:ascii="Times New Roman" w:hAnsi="Times New Roman" w:cs="Times New Roman"/>
              </w:rPr>
              <w:t>10</w:t>
            </w:r>
            <w:r w:rsidRPr="00CE4D54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 xml:space="preserve"> –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D54">
              <w:rPr>
                <w:rFonts w:ascii="Times New Roman" w:hAnsi="Times New Roman" w:cs="Times New Roman"/>
              </w:rPr>
              <w:t xml:space="preserve"> электронной форме</w:t>
            </w:r>
          </w:p>
        </w:tc>
      </w:tr>
      <w:tr w:rsidR="000E47BA" w:rsidRPr="00CE4D54" w:rsidTr="000E47BA">
        <w:trPr>
          <w:trHeight w:val="679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Расчётный период</w:t>
            </w:r>
          </w:p>
        </w:tc>
        <w:tc>
          <w:tcPr>
            <w:tcW w:w="4397" w:type="pct"/>
            <w:gridSpan w:val="3"/>
          </w:tcPr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Календарный год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7BA" w:rsidRPr="00CE4D54" w:rsidTr="000E47BA">
        <w:trPr>
          <w:trHeight w:val="330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Отчётные периоды</w:t>
            </w:r>
          </w:p>
        </w:tc>
        <w:tc>
          <w:tcPr>
            <w:tcW w:w="4397" w:type="pct"/>
            <w:gridSpan w:val="3"/>
          </w:tcPr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4D54">
              <w:rPr>
                <w:rFonts w:ascii="Times New Roman" w:hAnsi="Times New Roman" w:cs="Times New Roman"/>
              </w:rPr>
              <w:t>Первый квартал, полугодие, 9 месяцев календарного года, год</w:t>
            </w:r>
          </w:p>
        </w:tc>
      </w:tr>
      <w:tr w:rsidR="000E47BA" w:rsidRPr="00CE4D54" w:rsidTr="000E47BA">
        <w:trPr>
          <w:trHeight w:val="375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Сроки представления</w:t>
            </w:r>
          </w:p>
        </w:tc>
        <w:tc>
          <w:tcPr>
            <w:tcW w:w="4397" w:type="pct"/>
            <w:gridSpan w:val="3"/>
            <w:vAlign w:val="center"/>
          </w:tcPr>
          <w:p w:rsidR="000E47BA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7BA">
              <w:rPr>
                <w:rFonts w:ascii="Times New Roman" w:hAnsi="Times New Roman" w:cs="Times New Roman"/>
                <w:bCs/>
                <w:u w:val="single"/>
              </w:rPr>
              <w:t>За первый квартал, полугодие, девять месяцев</w:t>
            </w:r>
            <w:r w:rsidRPr="00CE4D54">
              <w:rPr>
                <w:rFonts w:ascii="Times New Roman" w:hAnsi="Times New Roman" w:cs="Times New Roman"/>
                <w:bCs/>
              </w:rPr>
              <w:t xml:space="preserve"> - </w:t>
            </w:r>
            <w:r w:rsidRPr="00CE439D">
              <w:rPr>
                <w:rFonts w:ascii="Times New Roman" w:hAnsi="Times New Roman" w:cs="Times New Roman"/>
                <w:b/>
                <w:bCs/>
              </w:rPr>
              <w:t>не позднее последнего дня месяца, следующего за соответствующим периодом</w:t>
            </w:r>
            <w:r w:rsidRPr="00CE4D54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47BA">
              <w:rPr>
                <w:rFonts w:ascii="Times New Roman" w:hAnsi="Times New Roman" w:cs="Times New Roman"/>
                <w:bCs/>
                <w:u w:val="single"/>
              </w:rPr>
              <w:t>за год</w:t>
            </w:r>
            <w:r w:rsidRPr="00CE4D54">
              <w:rPr>
                <w:rFonts w:ascii="Times New Roman" w:hAnsi="Times New Roman" w:cs="Times New Roman"/>
                <w:bCs/>
              </w:rPr>
              <w:t xml:space="preserve"> - </w:t>
            </w:r>
            <w:r w:rsidRPr="00CE439D">
              <w:rPr>
                <w:rFonts w:ascii="Times New Roman" w:hAnsi="Times New Roman" w:cs="Times New Roman"/>
                <w:b/>
                <w:bCs/>
              </w:rPr>
              <w:t xml:space="preserve">не позднее </w:t>
            </w:r>
            <w:r w:rsidR="00E35F40">
              <w:rPr>
                <w:rFonts w:ascii="Times New Roman" w:hAnsi="Times New Roman" w:cs="Times New Roman"/>
                <w:b/>
                <w:bCs/>
              </w:rPr>
              <w:t>25</w:t>
            </w:r>
            <w:r w:rsidRPr="00CE43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35F40">
              <w:rPr>
                <w:rFonts w:ascii="Times New Roman" w:hAnsi="Times New Roman" w:cs="Times New Roman"/>
                <w:b/>
                <w:bCs/>
              </w:rPr>
              <w:t>февраля</w:t>
            </w:r>
            <w:r w:rsidRPr="00CE439D">
              <w:rPr>
                <w:rFonts w:ascii="Times New Roman" w:hAnsi="Times New Roman" w:cs="Times New Roman"/>
                <w:b/>
                <w:bCs/>
              </w:rPr>
              <w:t xml:space="preserve"> года, следующего за истекшим налоговым периодом</w:t>
            </w:r>
            <w:r w:rsidRPr="00CE4D54">
              <w:rPr>
                <w:rFonts w:ascii="Times New Roman" w:hAnsi="Times New Roman" w:cs="Times New Roman"/>
                <w:bCs/>
              </w:rPr>
              <w:t>.</w:t>
            </w:r>
          </w:p>
          <w:p w:rsidR="000E47BA" w:rsidRPr="00CE4D54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7BA" w:rsidRPr="00CE4D54" w:rsidTr="000E47BA">
        <w:trPr>
          <w:trHeight w:val="718"/>
        </w:trPr>
        <w:tc>
          <w:tcPr>
            <w:tcW w:w="603" w:type="pct"/>
            <w:vAlign w:val="center"/>
          </w:tcPr>
          <w:p w:rsidR="000E47BA" w:rsidRPr="00E678AE" w:rsidRDefault="000E47BA" w:rsidP="000E47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78AE">
              <w:rPr>
                <w:rFonts w:ascii="Times New Roman" w:hAnsi="Times New Roman" w:cs="Times New Roman"/>
                <w:b/>
              </w:rPr>
              <w:t>Ответственность за непредставление (несвоевременное представление)</w:t>
            </w:r>
          </w:p>
        </w:tc>
        <w:tc>
          <w:tcPr>
            <w:tcW w:w="4397" w:type="pct"/>
            <w:gridSpan w:val="3"/>
          </w:tcPr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4D54">
              <w:rPr>
                <w:rFonts w:ascii="Times New Roman" w:hAnsi="Times New Roman" w:cs="Times New Roman"/>
                <w:bCs/>
              </w:rPr>
              <w:t xml:space="preserve">За нарушение </w:t>
            </w:r>
            <w:hyperlink r:id="rId5" w:history="1">
              <w:r w:rsidRPr="00CE4D54">
                <w:rPr>
                  <w:rFonts w:ascii="Times New Roman" w:hAnsi="Times New Roman" w:cs="Times New Roman"/>
                  <w:bCs/>
                </w:rPr>
                <w:t>срока представления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расчета по </w:t>
            </w:r>
            <w:hyperlink r:id="rId6" w:history="1">
              <w:r w:rsidRPr="00CE4D54">
                <w:rPr>
                  <w:rFonts w:ascii="Times New Roman" w:hAnsi="Times New Roman" w:cs="Times New Roman"/>
                  <w:bCs/>
                </w:rPr>
                <w:t>форме 6-НДФЛ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 начисляется  штраф в размере 1 000 руб. за каждый полный или неполный месяц со дня, установленного для представления расчета, и до дня, когда он был представлен (</w:t>
            </w:r>
            <w:hyperlink r:id="rId7" w:history="1">
              <w:r w:rsidRPr="00CE4D54">
                <w:rPr>
                  <w:rFonts w:ascii="Times New Roman" w:hAnsi="Times New Roman" w:cs="Times New Roman"/>
                  <w:bCs/>
                </w:rPr>
                <w:t>п. 1.2 ст. 126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НК РФ,</w:t>
            </w: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E47BA" w:rsidRPr="00CE4D54" w:rsidRDefault="000E47BA" w:rsidP="000E47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D54">
              <w:rPr>
                <w:rFonts w:ascii="Times New Roman" w:hAnsi="Times New Roman" w:cs="Times New Roman"/>
                <w:bCs/>
              </w:rPr>
              <w:t xml:space="preserve">Кроме того,  непредставление в срок расчета по </w:t>
            </w:r>
            <w:hyperlink r:id="rId8" w:history="1">
              <w:r w:rsidRPr="00CE4D54">
                <w:rPr>
                  <w:rFonts w:ascii="Times New Roman" w:hAnsi="Times New Roman" w:cs="Times New Roman"/>
                  <w:bCs/>
                </w:rPr>
                <w:t>форме 6-НДФЛ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 влечет за собой наложение штрафа  на сумму от 300 до 500 руб. (</w:t>
            </w:r>
            <w:hyperlink r:id="rId9" w:history="1">
              <w:r w:rsidRPr="00CE4D54">
                <w:rPr>
                  <w:rFonts w:ascii="Times New Roman" w:hAnsi="Times New Roman" w:cs="Times New Roman"/>
                  <w:bCs/>
                </w:rPr>
                <w:t>ч. 1 ст. 15.6</w:t>
              </w:r>
            </w:hyperlink>
            <w:r w:rsidRPr="00CE4D54">
              <w:rPr>
                <w:rFonts w:ascii="Times New Roman" w:hAnsi="Times New Roman" w:cs="Times New Roman"/>
                <w:bCs/>
              </w:rPr>
              <w:t xml:space="preserve"> КоАП РФ).</w:t>
            </w:r>
          </w:p>
        </w:tc>
      </w:tr>
    </w:tbl>
    <w:p w:rsidR="001C2272" w:rsidRDefault="001C2272" w:rsidP="001C2272">
      <w:pPr>
        <w:rPr>
          <w:rFonts w:ascii="Times New Roman" w:hAnsi="Times New Roman" w:cs="Times New Roman"/>
          <w:sz w:val="26"/>
          <w:szCs w:val="26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Default="006A2C77" w:rsidP="006A2C77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  <w:r w:rsidRPr="00E760A7">
        <w:rPr>
          <w:rFonts w:ascii="Times New Roman" w:hAnsi="Times New Roman" w:cs="Times New Roman"/>
          <w:b/>
        </w:rPr>
        <w:lastRenderedPageBreak/>
        <w:t>С 1 января</w:t>
      </w:r>
      <w:r w:rsidR="00E760A7">
        <w:rPr>
          <w:rFonts w:ascii="Times New Roman" w:hAnsi="Times New Roman" w:cs="Times New Roman"/>
          <w:b/>
        </w:rPr>
        <w:t xml:space="preserve"> 2024 года</w:t>
      </w:r>
      <w:r w:rsidR="00892787" w:rsidRPr="00E760A7">
        <w:rPr>
          <w:rFonts w:ascii="Times New Roman" w:hAnsi="Times New Roman" w:cs="Times New Roman"/>
          <w:b/>
        </w:rPr>
        <w:t xml:space="preserve"> отменен переходный период</w:t>
      </w:r>
      <w:r w:rsidR="00E760A7" w:rsidRPr="00E760A7">
        <w:rPr>
          <w:rFonts w:ascii="Times New Roman" w:hAnsi="Times New Roman" w:cs="Times New Roman"/>
          <w:b/>
        </w:rPr>
        <w:t xml:space="preserve"> в течение которого плательщики имели право вместо уведомления об исчисленных суммах налогов (сбор</w:t>
      </w:r>
      <w:r w:rsidR="00E760A7">
        <w:rPr>
          <w:rFonts w:ascii="Times New Roman" w:hAnsi="Times New Roman" w:cs="Times New Roman"/>
          <w:b/>
        </w:rPr>
        <w:t>о</w:t>
      </w:r>
      <w:r w:rsidR="00E760A7" w:rsidRPr="00E760A7">
        <w:rPr>
          <w:rFonts w:ascii="Times New Roman" w:hAnsi="Times New Roman" w:cs="Times New Roman"/>
          <w:b/>
        </w:rPr>
        <w:t>в)</w:t>
      </w:r>
      <w:r w:rsidR="00E760A7" w:rsidRPr="00E760A7">
        <w:rPr>
          <w:rFonts w:ascii="Times New Roman" w:hAnsi="Times New Roman" w:cs="Times New Roman"/>
          <w:b/>
          <w:bCs/>
        </w:rPr>
        <w:t xml:space="preserve"> </w:t>
      </w:r>
      <w:r w:rsidR="00E760A7">
        <w:rPr>
          <w:rFonts w:ascii="Times New Roman" w:hAnsi="Times New Roman" w:cs="Times New Roman"/>
          <w:b/>
          <w:bCs/>
        </w:rPr>
        <w:t>направлять в банк платежное поручение со статусом 02. Следовательно</w:t>
      </w:r>
      <w:r w:rsidR="004D2F66">
        <w:rPr>
          <w:rFonts w:ascii="Times New Roman" w:hAnsi="Times New Roman" w:cs="Times New Roman"/>
          <w:b/>
          <w:bCs/>
        </w:rPr>
        <w:t>,</w:t>
      </w:r>
      <w:r w:rsidR="00E760A7">
        <w:rPr>
          <w:rFonts w:ascii="Times New Roman" w:hAnsi="Times New Roman" w:cs="Times New Roman"/>
          <w:b/>
          <w:bCs/>
        </w:rPr>
        <w:t xml:space="preserve"> п</w:t>
      </w:r>
      <w:r w:rsidR="00E75FED" w:rsidRPr="00E760A7">
        <w:rPr>
          <w:rFonts w:ascii="Times New Roman" w:hAnsi="Times New Roman" w:cs="Times New Roman"/>
          <w:b/>
        </w:rPr>
        <w:t xml:space="preserve">лательщики страховых взносов и </w:t>
      </w:r>
      <w:r w:rsidRPr="00E760A7">
        <w:rPr>
          <w:rFonts w:ascii="Times New Roman" w:hAnsi="Times New Roman" w:cs="Times New Roman"/>
          <w:b/>
        </w:rPr>
        <w:t>налоговые агенты должны перечислять</w:t>
      </w:r>
      <w:r w:rsidR="00E75FED" w:rsidRPr="00E760A7">
        <w:rPr>
          <w:rFonts w:ascii="Times New Roman" w:hAnsi="Times New Roman" w:cs="Times New Roman"/>
          <w:b/>
        </w:rPr>
        <w:t xml:space="preserve"> страховые взносы и</w:t>
      </w:r>
      <w:r w:rsidRPr="00E760A7">
        <w:rPr>
          <w:rFonts w:ascii="Times New Roman" w:hAnsi="Times New Roman" w:cs="Times New Roman"/>
          <w:b/>
        </w:rPr>
        <w:t xml:space="preserve"> НДФЛ и подавать уведомление </w:t>
      </w:r>
      <w:r w:rsidR="00E760A7">
        <w:rPr>
          <w:rFonts w:ascii="Times New Roman" w:hAnsi="Times New Roman" w:cs="Times New Roman"/>
          <w:b/>
        </w:rPr>
        <w:t>в следующие сроки: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80"/>
        <w:gridCol w:w="360"/>
        <w:gridCol w:w="13850"/>
        <w:gridCol w:w="180"/>
      </w:tblGrid>
      <w:tr w:rsidR="006A2C77" w:rsidRPr="006A2C77" w:rsidTr="00E75FED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43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6A2C77" w:rsidRPr="006A2C77" w:rsidRDefault="006A2C77" w:rsidP="00E75F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  <w:sz w:val="18"/>
              </w:rPr>
              <w:t xml:space="preserve">Федеральный </w:t>
            </w:r>
            <w:hyperlink r:id="rId11">
              <w:r w:rsidRPr="006A2C77">
                <w:rPr>
                  <w:rFonts w:ascii="Times New Roman" w:hAnsi="Times New Roman" w:cs="Times New Roman"/>
                  <w:color w:val="0000FF"/>
                  <w:sz w:val="18"/>
                </w:rPr>
                <w:t>закон</w:t>
              </w:r>
            </w:hyperlink>
            <w:r w:rsidRPr="006A2C77">
              <w:rPr>
                <w:rFonts w:ascii="Times New Roman" w:hAnsi="Times New Roman" w:cs="Times New Roman"/>
                <w:sz w:val="18"/>
              </w:rPr>
              <w:t xml:space="preserve"> от 27.11.2023 N 539-ФЗ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</w:p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  <w:r w:rsidRPr="006A2C77">
        <w:rPr>
          <w:rFonts w:ascii="Times New Roman" w:hAnsi="Times New Roman" w:cs="Times New Roman"/>
        </w:rPr>
        <w:t>Сроки, в которые налоговые агенты по общему правилу перечисляют НДФЛ и сдают уведомления об исчисленном налоге:</w:t>
      </w:r>
    </w:p>
    <w:p w:rsidR="006A2C77" w:rsidRPr="006A2C77" w:rsidRDefault="006A2C77" w:rsidP="006A2C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5"/>
        <w:gridCol w:w="3115"/>
        <w:gridCol w:w="3115"/>
      </w:tblGrid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3115" w:type="dxa"/>
          </w:tcPr>
          <w:p w:rsidR="006A2C77" w:rsidRPr="006A2C77" w:rsidRDefault="004819B6" w:rsidP="00E75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>
              <w:r w:rsidR="006A2C77" w:rsidRPr="006A2C77">
                <w:rPr>
                  <w:rFonts w:ascii="Times New Roman" w:hAnsi="Times New Roman" w:cs="Times New Roman"/>
                  <w:b/>
                  <w:color w:val="0000FF"/>
                </w:rPr>
                <w:t>Срок перечисления</w:t>
              </w:r>
            </w:hyperlink>
            <w:r w:rsidR="006A2C77" w:rsidRPr="006A2C77">
              <w:rPr>
                <w:rFonts w:ascii="Times New Roman" w:hAnsi="Times New Roman" w:cs="Times New Roman"/>
                <w:b/>
              </w:rPr>
              <w:t xml:space="preserve"> удержанного НДФЛ</w:t>
            </w:r>
          </w:p>
        </w:tc>
        <w:tc>
          <w:tcPr>
            <w:tcW w:w="3115" w:type="dxa"/>
          </w:tcPr>
          <w:p w:rsidR="006A2C77" w:rsidRPr="006A2C77" w:rsidRDefault="004819B6" w:rsidP="00E75F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="006A2C77" w:rsidRPr="006A2C77">
                <w:rPr>
                  <w:rFonts w:ascii="Times New Roman" w:hAnsi="Times New Roman" w:cs="Times New Roman"/>
                  <w:b/>
                  <w:color w:val="0000FF"/>
                </w:rPr>
                <w:t>Срок подачи уведомления</w:t>
              </w:r>
            </w:hyperlink>
            <w:r w:rsidR="006A2C77" w:rsidRPr="006A2C77">
              <w:rPr>
                <w:rFonts w:ascii="Times New Roman" w:hAnsi="Times New Roman" w:cs="Times New Roman"/>
                <w:b/>
              </w:rPr>
              <w:t xml:space="preserve"> об исчисленном налоге</w:t>
            </w:r>
          </w:p>
        </w:tc>
      </w:tr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С 1-го по 22-е число текущего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28-го числа текущего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25-го числа этого же месяца</w:t>
            </w:r>
          </w:p>
        </w:tc>
      </w:tr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С 23-го по последнее число текущего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5-го числа следующего месяца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3-го числа следующего месяца</w:t>
            </w:r>
          </w:p>
        </w:tc>
      </w:tr>
      <w:tr w:rsidR="006A2C77" w:rsidRPr="006A2C77" w:rsidTr="00E75FED"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С 23 по 31 декабря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последнего рабочего дня текущего года</w:t>
            </w:r>
          </w:p>
        </w:tc>
        <w:tc>
          <w:tcPr>
            <w:tcW w:w="3115" w:type="dxa"/>
          </w:tcPr>
          <w:p w:rsidR="006A2C77" w:rsidRPr="006A2C77" w:rsidRDefault="006A2C77" w:rsidP="00E75FED">
            <w:pPr>
              <w:pStyle w:val="ConsPlusNormal"/>
              <w:rPr>
                <w:rFonts w:ascii="Times New Roman" w:hAnsi="Times New Roman" w:cs="Times New Roman"/>
              </w:rPr>
            </w:pPr>
            <w:r w:rsidRPr="006A2C77">
              <w:rPr>
                <w:rFonts w:ascii="Times New Roman" w:hAnsi="Times New Roman" w:cs="Times New Roman"/>
              </w:rPr>
              <w:t>Не позднее последнего рабочего дня текущего года</w:t>
            </w:r>
          </w:p>
        </w:tc>
      </w:tr>
    </w:tbl>
    <w:p w:rsidR="006A2C77" w:rsidRDefault="006A2C77" w:rsidP="001C2272">
      <w:pPr>
        <w:rPr>
          <w:rFonts w:ascii="Times New Roman" w:hAnsi="Times New Roman" w:cs="Times New Roman"/>
          <w:sz w:val="26"/>
          <w:szCs w:val="26"/>
        </w:rPr>
      </w:pPr>
    </w:p>
    <w:p w:rsidR="00E760A7" w:rsidRPr="004D2F66" w:rsidRDefault="00E760A7" w:rsidP="001C2272">
      <w:pPr>
        <w:rPr>
          <w:rFonts w:ascii="Times New Roman" w:hAnsi="Times New Roman" w:cs="Times New Roman"/>
        </w:rPr>
      </w:pPr>
      <w:r w:rsidRPr="004D2F66">
        <w:rPr>
          <w:rFonts w:ascii="Times New Roman" w:hAnsi="Times New Roman" w:cs="Times New Roman"/>
        </w:rPr>
        <w:t>Сроки, в которые плательщики страховых взносов перечисляют страховые взносы и сдают уведомления об исчисленных суммах страховых взносов:</w:t>
      </w:r>
    </w:p>
    <w:tbl>
      <w:tblPr>
        <w:tblStyle w:val="a3"/>
        <w:tblW w:w="0" w:type="auto"/>
        <w:tblLook w:val="04A0"/>
      </w:tblPr>
      <w:tblGrid>
        <w:gridCol w:w="3227"/>
        <w:gridCol w:w="2977"/>
        <w:gridCol w:w="3260"/>
      </w:tblGrid>
      <w:tr w:rsidR="00E760A7" w:rsidTr="00E760A7">
        <w:tc>
          <w:tcPr>
            <w:tcW w:w="322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 w:rsidRPr="00E760A7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97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 w:rsidRPr="00E760A7">
              <w:rPr>
                <w:rFonts w:ascii="Times New Roman" w:hAnsi="Times New Roman" w:cs="Times New Roman"/>
              </w:rPr>
              <w:t>Срок перечисления страховых взносов</w:t>
            </w:r>
          </w:p>
        </w:tc>
        <w:tc>
          <w:tcPr>
            <w:tcW w:w="3260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 w:rsidRPr="00E760A7">
              <w:rPr>
                <w:rFonts w:ascii="Times New Roman" w:hAnsi="Times New Roman" w:cs="Times New Roman"/>
              </w:rPr>
              <w:t>Срок подачи уведомления об исчисленных суммах страховых взносов</w:t>
            </w:r>
          </w:p>
        </w:tc>
      </w:tr>
      <w:tr w:rsidR="00E760A7" w:rsidTr="00E760A7">
        <w:tc>
          <w:tcPr>
            <w:tcW w:w="322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 года</w:t>
            </w:r>
          </w:p>
        </w:tc>
        <w:tc>
          <w:tcPr>
            <w:tcW w:w="2977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3260" w:type="dxa"/>
          </w:tcPr>
          <w:p w:rsidR="00E760A7" w:rsidRP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E760A7" w:rsidTr="00E760A7">
        <w:tc>
          <w:tcPr>
            <w:tcW w:w="3227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 года</w:t>
            </w:r>
          </w:p>
        </w:tc>
        <w:tc>
          <w:tcPr>
            <w:tcW w:w="2977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3260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</w:t>
            </w:r>
          </w:p>
        </w:tc>
      </w:tr>
      <w:tr w:rsidR="00E760A7" w:rsidTr="00E760A7">
        <w:tc>
          <w:tcPr>
            <w:tcW w:w="3227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2024 года</w:t>
            </w:r>
          </w:p>
        </w:tc>
        <w:tc>
          <w:tcPr>
            <w:tcW w:w="2977" w:type="dxa"/>
          </w:tcPr>
          <w:p w:rsidR="00E760A7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3260" w:type="dxa"/>
          </w:tcPr>
          <w:p w:rsidR="00E760A7" w:rsidRDefault="00E760A7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подается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подается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подается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2024 года 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</w:tr>
      <w:tr w:rsidR="000C265C" w:rsidTr="00E760A7">
        <w:tc>
          <w:tcPr>
            <w:tcW w:w="322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года</w:t>
            </w:r>
          </w:p>
        </w:tc>
        <w:tc>
          <w:tcPr>
            <w:tcW w:w="2977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3260" w:type="dxa"/>
          </w:tcPr>
          <w:p w:rsidR="000C265C" w:rsidRDefault="000C265C" w:rsidP="00E76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</w:t>
            </w:r>
          </w:p>
        </w:tc>
      </w:tr>
    </w:tbl>
    <w:p w:rsidR="003A17E2" w:rsidRPr="001C2272" w:rsidRDefault="003A17E2" w:rsidP="003F1E30">
      <w:pPr>
        <w:rPr>
          <w:rFonts w:ascii="Times New Roman" w:hAnsi="Times New Roman" w:cs="Times New Roman"/>
          <w:sz w:val="26"/>
          <w:szCs w:val="26"/>
        </w:rPr>
      </w:pPr>
    </w:p>
    <w:sectPr w:rsidR="003A17E2" w:rsidRPr="001C2272" w:rsidSect="00B0388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07C0"/>
    <w:rsid w:val="00007D59"/>
    <w:rsid w:val="000254E6"/>
    <w:rsid w:val="000402C9"/>
    <w:rsid w:val="000466C3"/>
    <w:rsid w:val="000C265C"/>
    <w:rsid w:val="000E47BA"/>
    <w:rsid w:val="000F4B4A"/>
    <w:rsid w:val="00116621"/>
    <w:rsid w:val="001800C5"/>
    <w:rsid w:val="0019766B"/>
    <w:rsid w:val="001C2272"/>
    <w:rsid w:val="001D5547"/>
    <w:rsid w:val="001E13F3"/>
    <w:rsid w:val="001F6EA6"/>
    <w:rsid w:val="00213340"/>
    <w:rsid w:val="00371CC6"/>
    <w:rsid w:val="003A17E2"/>
    <w:rsid w:val="003C6899"/>
    <w:rsid w:val="003F1E30"/>
    <w:rsid w:val="003F6E0B"/>
    <w:rsid w:val="00406C1E"/>
    <w:rsid w:val="004165C6"/>
    <w:rsid w:val="004819B6"/>
    <w:rsid w:val="004A482B"/>
    <w:rsid w:val="004B46E1"/>
    <w:rsid w:val="004D2F66"/>
    <w:rsid w:val="005815DB"/>
    <w:rsid w:val="00596360"/>
    <w:rsid w:val="005C770E"/>
    <w:rsid w:val="005C7CAC"/>
    <w:rsid w:val="005D7F1C"/>
    <w:rsid w:val="005F23F1"/>
    <w:rsid w:val="00675104"/>
    <w:rsid w:val="006A2C77"/>
    <w:rsid w:val="007976BC"/>
    <w:rsid w:val="007B23A4"/>
    <w:rsid w:val="0081771A"/>
    <w:rsid w:val="00822DE5"/>
    <w:rsid w:val="008407C0"/>
    <w:rsid w:val="00855870"/>
    <w:rsid w:val="00892787"/>
    <w:rsid w:val="008A2A83"/>
    <w:rsid w:val="00902A3A"/>
    <w:rsid w:val="00957BDE"/>
    <w:rsid w:val="009E2C83"/>
    <w:rsid w:val="00B03886"/>
    <w:rsid w:val="00B73C42"/>
    <w:rsid w:val="00BA3A2C"/>
    <w:rsid w:val="00C7570C"/>
    <w:rsid w:val="00CB1ACA"/>
    <w:rsid w:val="00CD06CF"/>
    <w:rsid w:val="00CE439D"/>
    <w:rsid w:val="00CE4D54"/>
    <w:rsid w:val="00DB3E5B"/>
    <w:rsid w:val="00DB4A11"/>
    <w:rsid w:val="00DC00CB"/>
    <w:rsid w:val="00E05E5B"/>
    <w:rsid w:val="00E35F40"/>
    <w:rsid w:val="00E678AE"/>
    <w:rsid w:val="00E75FED"/>
    <w:rsid w:val="00E760A7"/>
    <w:rsid w:val="00E8644B"/>
    <w:rsid w:val="00EF569C"/>
    <w:rsid w:val="00FB2023"/>
    <w:rsid w:val="00FB69A0"/>
    <w:rsid w:val="00FC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40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272"/>
  </w:style>
  <w:style w:type="paragraph" w:styleId="a6">
    <w:name w:val="Balloon Text"/>
    <w:basedOn w:val="a"/>
    <w:link w:val="a7"/>
    <w:uiPriority w:val="99"/>
    <w:semiHidden/>
    <w:unhideWhenUsed/>
    <w:rsid w:val="0067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1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2C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840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4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3FB9C6DC8DCC887F285B7C2F0535DACDA36FE235464471CCEE5CC19C79A7B45D588KEgCO" TargetMode="External"/><Relationship Id="rId13" Type="http://schemas.openxmlformats.org/officeDocument/2006/relationships/hyperlink" Target="https://login.consultant.ru/link/?req=doc&amp;base=LAW&amp;n=462886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9D747CBDF124A5F7FB3EDA207F68878EF11FF19C477193482E32C84BC66F68E3A7A323402Ab9IEO" TargetMode="External"/><Relationship Id="rId12" Type="http://schemas.openxmlformats.org/officeDocument/2006/relationships/hyperlink" Target="https://login.consultant.ru/link/?req=doc&amp;base=LAW&amp;n=462886&amp;dst=10030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9D747CBDF124A5F7FB3EDA207F68878EF115F795437193482E32C84BC66F68E3A7A3b2I6O" TargetMode="External"/><Relationship Id="rId11" Type="http://schemas.openxmlformats.org/officeDocument/2006/relationships/hyperlink" Target="https://login.consultant.ru/link/?req=doc&amp;base=LAW&amp;n=462886&amp;dst=100302" TargetMode="External"/><Relationship Id="rId5" Type="http://schemas.openxmlformats.org/officeDocument/2006/relationships/hyperlink" Target="consultantplus://offline/ref=409D747CBDF124A5F7FB22D0350B3DD481FA1CF591427193482E32C84BC66F68E3A7A321442297A2b9I4O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03FB9C6DC8DCC887F285B7C2F0535DACDA36FC275164471CCEE5CC19C79A7B45D588EB295EK1g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BAD61-0AFD-4496-9702-D525C067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4700-00-218</dc:creator>
  <cp:lastModifiedBy>User</cp:lastModifiedBy>
  <cp:revision>3</cp:revision>
  <cp:lastPrinted>2021-03-25T12:59:00Z</cp:lastPrinted>
  <dcterms:created xsi:type="dcterms:W3CDTF">2024-02-05T12:20:00Z</dcterms:created>
  <dcterms:modified xsi:type="dcterms:W3CDTF">2024-02-05T12:29:00Z</dcterms:modified>
</cp:coreProperties>
</file>