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85A" w:rsidRDefault="0076085A">
      <w:pPr>
        <w:pStyle w:val="ConsPlusTitle"/>
        <w:jc w:val="center"/>
        <w:outlineLvl w:val="0"/>
      </w:pPr>
      <w:bookmarkStart w:id="0" w:name="P26"/>
      <w:bookmarkStart w:id="1" w:name="_GoBack"/>
      <w:bookmarkEnd w:id="0"/>
      <w:bookmarkEnd w:id="1"/>
      <w:r>
        <w:t>ПОЛОЖЕНИЕ</w:t>
      </w:r>
    </w:p>
    <w:p w:rsidR="0076085A" w:rsidRDefault="0076085A">
      <w:pPr>
        <w:pStyle w:val="ConsPlusTitle"/>
        <w:jc w:val="center"/>
      </w:pPr>
      <w:r>
        <w:t>О НАЛОГЕ НА ИМУЩЕСТВО ФИЗИЧЕСКИХ ЛИЦ НА ТЕРРИТОРИИ</w:t>
      </w:r>
    </w:p>
    <w:p w:rsidR="0076085A" w:rsidRDefault="0076085A">
      <w:pPr>
        <w:pStyle w:val="ConsPlusTitle"/>
        <w:jc w:val="center"/>
      </w:pPr>
      <w:r>
        <w:t>ГОРОДА ЛИПЕЦКА</w:t>
      </w:r>
    </w:p>
    <w:p w:rsidR="0076085A" w:rsidRDefault="0076085A">
      <w:pPr>
        <w:pStyle w:val="ConsPlusNormal"/>
        <w:jc w:val="both"/>
      </w:pPr>
    </w:p>
    <w:p w:rsidR="0076085A" w:rsidRDefault="0076085A">
      <w:pPr>
        <w:pStyle w:val="ConsPlusNormal"/>
        <w:jc w:val="right"/>
      </w:pPr>
      <w:r>
        <w:t>Утверждено</w:t>
      </w:r>
    </w:p>
    <w:p w:rsidR="0076085A" w:rsidRDefault="00910826">
      <w:pPr>
        <w:pStyle w:val="ConsPlusNormal"/>
        <w:jc w:val="right"/>
      </w:pPr>
      <w:r>
        <w:t>Р</w:t>
      </w:r>
      <w:r w:rsidR="0076085A">
        <w:t>ешением</w:t>
      </w:r>
      <w:r>
        <w:t xml:space="preserve"> </w:t>
      </w:r>
      <w:r w:rsidR="0076085A">
        <w:t>сессии</w:t>
      </w:r>
    </w:p>
    <w:p w:rsidR="0076085A" w:rsidRDefault="0076085A">
      <w:pPr>
        <w:pStyle w:val="ConsPlusNormal"/>
        <w:jc w:val="right"/>
      </w:pPr>
      <w:r>
        <w:t>Липецкого городского</w:t>
      </w:r>
    </w:p>
    <w:p w:rsidR="0076085A" w:rsidRDefault="0076085A">
      <w:pPr>
        <w:pStyle w:val="ConsPlusNormal"/>
        <w:jc w:val="right"/>
      </w:pPr>
      <w:r>
        <w:t>Совета депутатов</w:t>
      </w:r>
    </w:p>
    <w:p w:rsidR="0076085A" w:rsidRDefault="0076085A">
      <w:pPr>
        <w:pStyle w:val="ConsPlusNormal"/>
        <w:jc w:val="right"/>
      </w:pPr>
      <w:r>
        <w:t>от 31.10.2017 N 515</w:t>
      </w:r>
    </w:p>
    <w:p w:rsidR="0076085A" w:rsidRDefault="0076085A">
      <w:pPr>
        <w:spacing w:after="1"/>
      </w:pPr>
    </w:p>
    <w:p w:rsidR="0076085A" w:rsidRDefault="0076085A">
      <w:pPr>
        <w:pStyle w:val="ConsPlusNormal"/>
        <w:jc w:val="both"/>
      </w:pPr>
    </w:p>
    <w:p w:rsidR="0076085A" w:rsidRDefault="0076085A">
      <w:pPr>
        <w:pStyle w:val="ConsPlusNormal"/>
        <w:ind w:firstLine="540"/>
        <w:jc w:val="both"/>
        <w:outlineLvl w:val="1"/>
      </w:pPr>
      <w:r>
        <w:t>Статья 1. Общие положения</w:t>
      </w:r>
    </w:p>
    <w:p w:rsidR="0076085A" w:rsidRDefault="0076085A">
      <w:pPr>
        <w:pStyle w:val="ConsPlusNormal"/>
        <w:jc w:val="both"/>
      </w:pPr>
    </w:p>
    <w:p w:rsidR="0076085A" w:rsidRDefault="0076085A">
      <w:pPr>
        <w:pStyle w:val="ConsPlusNormal"/>
        <w:ind w:firstLine="540"/>
        <w:jc w:val="both"/>
      </w:pPr>
      <w:r>
        <w:t xml:space="preserve">В соответствии с Налоговым </w:t>
      </w:r>
      <w:r w:rsidR="00910826">
        <w:t xml:space="preserve">кодексом </w:t>
      </w:r>
      <w:r>
        <w:t xml:space="preserve">Российской Федерации, </w:t>
      </w:r>
      <w:r w:rsidR="00910826">
        <w:t>Законом</w:t>
      </w:r>
      <w:r>
        <w:t xml:space="preserve"> Липецкой области от 07.08.2017 N 87-ОЗ "Об установлении единой даты начала применения на территории Липецкой области порядка определения налоговой базы по налогу на имущество физических лиц исходя из кадастровой стоимости объектов налогообложения" на территории города Липецка устанавливается налог на имущество физических лиц.</w:t>
      </w:r>
    </w:p>
    <w:p w:rsidR="0076085A" w:rsidRDefault="0076085A">
      <w:pPr>
        <w:pStyle w:val="ConsPlusNormal"/>
        <w:jc w:val="both"/>
      </w:pPr>
    </w:p>
    <w:p w:rsidR="0076085A" w:rsidRDefault="0076085A">
      <w:pPr>
        <w:pStyle w:val="ConsPlusNormal"/>
        <w:ind w:firstLine="540"/>
        <w:jc w:val="both"/>
        <w:outlineLvl w:val="1"/>
      </w:pPr>
      <w:r>
        <w:t>Статья 2. Порядок определения налоговой базы</w:t>
      </w:r>
    </w:p>
    <w:p w:rsidR="0076085A" w:rsidRDefault="0076085A">
      <w:pPr>
        <w:pStyle w:val="ConsPlusNormal"/>
        <w:jc w:val="both"/>
      </w:pPr>
    </w:p>
    <w:p w:rsidR="0076085A" w:rsidRDefault="0076085A">
      <w:pPr>
        <w:pStyle w:val="ConsPlusNormal"/>
        <w:ind w:firstLine="540"/>
        <w:jc w:val="both"/>
      </w:pPr>
      <w:r>
        <w:t xml:space="preserve">Налоговая база определяется в отношении каждого объекта налогообложения как его кадастровая стоимость, указанная в Едином государственном реестре недвижимости по состоянию на 01 января года, являющегося налоговым периодом, с учетом особенностей, предусмотренных </w:t>
      </w:r>
      <w:r w:rsidR="00910826">
        <w:t>статьей 403</w:t>
      </w:r>
      <w:r>
        <w:t xml:space="preserve"> Налогового кодекса Российской Федерации.</w:t>
      </w:r>
    </w:p>
    <w:p w:rsidR="0076085A" w:rsidRDefault="0076085A">
      <w:pPr>
        <w:pStyle w:val="ConsPlusNormal"/>
        <w:jc w:val="both"/>
      </w:pPr>
    </w:p>
    <w:p w:rsidR="0076085A" w:rsidRDefault="0076085A">
      <w:pPr>
        <w:pStyle w:val="ConsPlusNormal"/>
        <w:ind w:firstLine="540"/>
        <w:jc w:val="both"/>
        <w:outlineLvl w:val="1"/>
      </w:pPr>
      <w:r>
        <w:t>Статья 3. Налоговые ставки</w:t>
      </w:r>
    </w:p>
    <w:p w:rsidR="0076085A" w:rsidRDefault="0076085A">
      <w:pPr>
        <w:pStyle w:val="ConsPlusNormal"/>
        <w:jc w:val="both"/>
      </w:pPr>
    </w:p>
    <w:p w:rsidR="0076085A" w:rsidRDefault="0076085A">
      <w:pPr>
        <w:pStyle w:val="ConsPlusNormal"/>
        <w:ind w:firstLine="540"/>
        <w:jc w:val="both"/>
      </w:pPr>
      <w:r>
        <w:t>Налоговые ставки устанавливаются в следующих размерах:</w:t>
      </w:r>
    </w:p>
    <w:p w:rsidR="0076085A" w:rsidRDefault="0076085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200"/>
        <w:gridCol w:w="1242"/>
      </w:tblGrid>
      <w:tr w:rsidR="0076085A">
        <w:tc>
          <w:tcPr>
            <w:tcW w:w="624" w:type="dxa"/>
          </w:tcPr>
          <w:p w:rsidR="0076085A" w:rsidRDefault="0076085A">
            <w:pPr>
              <w:pStyle w:val="ConsPlusNormal"/>
              <w:jc w:val="center"/>
            </w:pPr>
            <w:r>
              <w:t xml:space="preserve">N </w:t>
            </w:r>
            <w:proofErr w:type="gramStart"/>
            <w:r>
              <w:t>п</w:t>
            </w:r>
            <w:proofErr w:type="gramEnd"/>
            <w:r>
              <w:t>/п</w:t>
            </w:r>
          </w:p>
        </w:tc>
        <w:tc>
          <w:tcPr>
            <w:tcW w:w="7200" w:type="dxa"/>
          </w:tcPr>
          <w:p w:rsidR="0076085A" w:rsidRDefault="0076085A">
            <w:pPr>
              <w:pStyle w:val="ConsPlusNormal"/>
              <w:jc w:val="center"/>
            </w:pPr>
            <w:r>
              <w:t>Объекты налогообложения</w:t>
            </w:r>
          </w:p>
        </w:tc>
        <w:tc>
          <w:tcPr>
            <w:tcW w:w="1242" w:type="dxa"/>
          </w:tcPr>
          <w:p w:rsidR="0076085A" w:rsidRDefault="0076085A">
            <w:pPr>
              <w:pStyle w:val="ConsPlusNormal"/>
              <w:jc w:val="center"/>
            </w:pPr>
            <w:r>
              <w:t>Ставка налога, %</w:t>
            </w:r>
          </w:p>
        </w:tc>
      </w:tr>
      <w:tr w:rsidR="0076085A">
        <w:tc>
          <w:tcPr>
            <w:tcW w:w="624" w:type="dxa"/>
          </w:tcPr>
          <w:p w:rsidR="0076085A" w:rsidRDefault="0076085A">
            <w:pPr>
              <w:pStyle w:val="ConsPlusNormal"/>
              <w:jc w:val="center"/>
            </w:pPr>
            <w:r>
              <w:t>1.</w:t>
            </w:r>
          </w:p>
        </w:tc>
        <w:tc>
          <w:tcPr>
            <w:tcW w:w="7200" w:type="dxa"/>
          </w:tcPr>
          <w:p w:rsidR="0076085A" w:rsidRDefault="0076085A">
            <w:pPr>
              <w:pStyle w:val="ConsPlusNormal"/>
            </w:pPr>
            <w:r>
              <w:t>Жилые дома</w:t>
            </w:r>
          </w:p>
        </w:tc>
        <w:tc>
          <w:tcPr>
            <w:tcW w:w="1242" w:type="dxa"/>
          </w:tcPr>
          <w:p w:rsidR="0076085A" w:rsidRDefault="0076085A">
            <w:pPr>
              <w:pStyle w:val="ConsPlusNormal"/>
              <w:jc w:val="center"/>
            </w:pPr>
            <w:r>
              <w:t>0,3</w:t>
            </w:r>
          </w:p>
        </w:tc>
      </w:tr>
      <w:tr w:rsidR="0076085A">
        <w:tc>
          <w:tcPr>
            <w:tcW w:w="624" w:type="dxa"/>
            <w:vMerge w:val="restart"/>
          </w:tcPr>
          <w:p w:rsidR="0076085A" w:rsidRDefault="0076085A">
            <w:pPr>
              <w:pStyle w:val="ConsPlusNormal"/>
              <w:jc w:val="center"/>
            </w:pPr>
            <w:r>
              <w:t>2.</w:t>
            </w:r>
          </w:p>
        </w:tc>
        <w:tc>
          <w:tcPr>
            <w:tcW w:w="7200" w:type="dxa"/>
            <w:tcBorders>
              <w:bottom w:val="nil"/>
            </w:tcBorders>
          </w:tcPr>
          <w:p w:rsidR="0076085A" w:rsidRDefault="0076085A">
            <w:pPr>
              <w:pStyle w:val="ConsPlusNormal"/>
            </w:pPr>
            <w:r>
              <w:t>Квартиры, комнаты кадастровой стоимостью:</w:t>
            </w:r>
          </w:p>
        </w:tc>
        <w:tc>
          <w:tcPr>
            <w:tcW w:w="1242" w:type="dxa"/>
            <w:tcBorders>
              <w:bottom w:val="nil"/>
            </w:tcBorders>
          </w:tcPr>
          <w:p w:rsidR="0076085A" w:rsidRDefault="0076085A">
            <w:pPr>
              <w:pStyle w:val="ConsPlusNormal"/>
            </w:pPr>
          </w:p>
        </w:tc>
      </w:tr>
      <w:tr w:rsidR="0076085A">
        <w:tblPrEx>
          <w:tblBorders>
            <w:insideH w:val="nil"/>
          </w:tblBorders>
        </w:tblPrEx>
        <w:tc>
          <w:tcPr>
            <w:tcW w:w="624" w:type="dxa"/>
            <w:vMerge/>
          </w:tcPr>
          <w:p w:rsidR="0076085A" w:rsidRDefault="0076085A"/>
        </w:tc>
        <w:tc>
          <w:tcPr>
            <w:tcW w:w="7200" w:type="dxa"/>
            <w:tcBorders>
              <w:top w:val="nil"/>
              <w:bottom w:val="nil"/>
            </w:tcBorders>
          </w:tcPr>
          <w:p w:rsidR="0076085A" w:rsidRDefault="0076085A">
            <w:pPr>
              <w:pStyle w:val="ConsPlusNormal"/>
            </w:pPr>
            <w:r>
              <w:t>- до 4,0 млн. рублей (включительно)</w:t>
            </w:r>
          </w:p>
        </w:tc>
        <w:tc>
          <w:tcPr>
            <w:tcW w:w="1242" w:type="dxa"/>
            <w:tcBorders>
              <w:top w:val="nil"/>
              <w:bottom w:val="nil"/>
            </w:tcBorders>
          </w:tcPr>
          <w:p w:rsidR="0076085A" w:rsidRDefault="0076085A">
            <w:pPr>
              <w:pStyle w:val="ConsPlusNormal"/>
              <w:jc w:val="center"/>
            </w:pPr>
            <w:r>
              <w:t>0,1</w:t>
            </w:r>
          </w:p>
        </w:tc>
      </w:tr>
      <w:tr w:rsidR="0076085A">
        <w:tblPrEx>
          <w:tblBorders>
            <w:insideH w:val="nil"/>
          </w:tblBorders>
        </w:tblPrEx>
        <w:tc>
          <w:tcPr>
            <w:tcW w:w="624" w:type="dxa"/>
            <w:vMerge/>
          </w:tcPr>
          <w:p w:rsidR="0076085A" w:rsidRDefault="0076085A"/>
        </w:tc>
        <w:tc>
          <w:tcPr>
            <w:tcW w:w="7200" w:type="dxa"/>
            <w:tcBorders>
              <w:top w:val="nil"/>
              <w:bottom w:val="nil"/>
            </w:tcBorders>
          </w:tcPr>
          <w:p w:rsidR="0076085A" w:rsidRDefault="0076085A">
            <w:pPr>
              <w:pStyle w:val="ConsPlusNormal"/>
            </w:pPr>
            <w:r>
              <w:t>- свыше 4,0 млн. рублей до 5,0 млн. рублей (включительно)</w:t>
            </w:r>
          </w:p>
        </w:tc>
        <w:tc>
          <w:tcPr>
            <w:tcW w:w="1242" w:type="dxa"/>
            <w:tcBorders>
              <w:top w:val="nil"/>
              <w:bottom w:val="nil"/>
            </w:tcBorders>
          </w:tcPr>
          <w:p w:rsidR="0076085A" w:rsidRDefault="0076085A">
            <w:pPr>
              <w:pStyle w:val="ConsPlusNormal"/>
              <w:jc w:val="center"/>
            </w:pPr>
            <w:r>
              <w:t>0,2</w:t>
            </w:r>
          </w:p>
        </w:tc>
      </w:tr>
      <w:tr w:rsidR="0076085A">
        <w:tc>
          <w:tcPr>
            <w:tcW w:w="624" w:type="dxa"/>
            <w:vMerge/>
          </w:tcPr>
          <w:p w:rsidR="0076085A" w:rsidRDefault="0076085A"/>
        </w:tc>
        <w:tc>
          <w:tcPr>
            <w:tcW w:w="7200" w:type="dxa"/>
            <w:tcBorders>
              <w:top w:val="nil"/>
            </w:tcBorders>
          </w:tcPr>
          <w:p w:rsidR="0076085A" w:rsidRDefault="0076085A">
            <w:pPr>
              <w:pStyle w:val="ConsPlusNormal"/>
            </w:pPr>
            <w:r>
              <w:t>- свыше 5,0 млн. рублей</w:t>
            </w:r>
          </w:p>
        </w:tc>
        <w:tc>
          <w:tcPr>
            <w:tcW w:w="1242" w:type="dxa"/>
            <w:tcBorders>
              <w:top w:val="nil"/>
            </w:tcBorders>
          </w:tcPr>
          <w:p w:rsidR="0076085A" w:rsidRDefault="0076085A">
            <w:pPr>
              <w:pStyle w:val="ConsPlusNormal"/>
              <w:jc w:val="center"/>
            </w:pPr>
            <w:r>
              <w:t>0,3</w:t>
            </w:r>
          </w:p>
        </w:tc>
      </w:tr>
      <w:tr w:rsidR="0076085A">
        <w:tc>
          <w:tcPr>
            <w:tcW w:w="624" w:type="dxa"/>
          </w:tcPr>
          <w:p w:rsidR="0076085A" w:rsidRDefault="0076085A">
            <w:pPr>
              <w:pStyle w:val="ConsPlusNormal"/>
              <w:jc w:val="center"/>
            </w:pPr>
            <w:r>
              <w:t>3.</w:t>
            </w:r>
          </w:p>
        </w:tc>
        <w:tc>
          <w:tcPr>
            <w:tcW w:w="7200" w:type="dxa"/>
          </w:tcPr>
          <w:p w:rsidR="0076085A" w:rsidRDefault="0076085A">
            <w:pPr>
              <w:pStyle w:val="ConsPlusNormal"/>
            </w:pPr>
            <w:r>
              <w:t xml:space="preserve">Гаражи и </w:t>
            </w:r>
            <w:proofErr w:type="spellStart"/>
            <w:r>
              <w:t>машино</w:t>
            </w:r>
            <w:proofErr w:type="spellEnd"/>
            <w:r>
              <w:t>-места</w:t>
            </w:r>
          </w:p>
        </w:tc>
        <w:tc>
          <w:tcPr>
            <w:tcW w:w="1242" w:type="dxa"/>
          </w:tcPr>
          <w:p w:rsidR="0076085A" w:rsidRDefault="0076085A">
            <w:pPr>
              <w:pStyle w:val="ConsPlusNormal"/>
              <w:jc w:val="center"/>
            </w:pPr>
            <w:r>
              <w:t>0,1</w:t>
            </w:r>
          </w:p>
        </w:tc>
      </w:tr>
      <w:tr w:rsidR="0076085A">
        <w:tc>
          <w:tcPr>
            <w:tcW w:w="624" w:type="dxa"/>
          </w:tcPr>
          <w:p w:rsidR="0076085A" w:rsidRDefault="0076085A">
            <w:pPr>
              <w:pStyle w:val="ConsPlusNormal"/>
              <w:jc w:val="center"/>
            </w:pPr>
            <w:r>
              <w:t>4.</w:t>
            </w:r>
          </w:p>
        </w:tc>
        <w:tc>
          <w:tcPr>
            <w:tcW w:w="7200" w:type="dxa"/>
          </w:tcPr>
          <w:p w:rsidR="0076085A" w:rsidRDefault="0076085A">
            <w:pPr>
              <w:pStyle w:val="ConsPlusNormal"/>
            </w:pPr>
            <w:r>
              <w:t>Единые недвижимые комплексы, в состав которых входит хотя бы один жилой дом</w:t>
            </w:r>
          </w:p>
        </w:tc>
        <w:tc>
          <w:tcPr>
            <w:tcW w:w="1242" w:type="dxa"/>
          </w:tcPr>
          <w:p w:rsidR="0076085A" w:rsidRDefault="0076085A">
            <w:pPr>
              <w:pStyle w:val="ConsPlusNormal"/>
              <w:jc w:val="center"/>
            </w:pPr>
            <w:r>
              <w:t>0,3</w:t>
            </w:r>
          </w:p>
        </w:tc>
      </w:tr>
      <w:tr w:rsidR="0076085A">
        <w:tc>
          <w:tcPr>
            <w:tcW w:w="624" w:type="dxa"/>
          </w:tcPr>
          <w:p w:rsidR="0076085A" w:rsidRDefault="0076085A">
            <w:pPr>
              <w:pStyle w:val="ConsPlusNormal"/>
              <w:jc w:val="center"/>
            </w:pPr>
            <w:r>
              <w:t>5.</w:t>
            </w:r>
          </w:p>
        </w:tc>
        <w:tc>
          <w:tcPr>
            <w:tcW w:w="7200" w:type="dxa"/>
          </w:tcPr>
          <w:p w:rsidR="0076085A" w:rsidRDefault="0076085A">
            <w:pPr>
              <w:pStyle w:val="ConsPlusNormal"/>
            </w:pPr>
            <w:r>
              <w:t>Объекты незавершенного строительства в случае, если проектируемым назначением таких объектов является жилой дом</w:t>
            </w:r>
          </w:p>
        </w:tc>
        <w:tc>
          <w:tcPr>
            <w:tcW w:w="1242" w:type="dxa"/>
          </w:tcPr>
          <w:p w:rsidR="0076085A" w:rsidRDefault="0076085A">
            <w:pPr>
              <w:pStyle w:val="ConsPlusNormal"/>
              <w:jc w:val="center"/>
            </w:pPr>
            <w:r>
              <w:t>0,3</w:t>
            </w:r>
          </w:p>
        </w:tc>
      </w:tr>
      <w:tr w:rsidR="0076085A">
        <w:tc>
          <w:tcPr>
            <w:tcW w:w="624" w:type="dxa"/>
          </w:tcPr>
          <w:p w:rsidR="0076085A" w:rsidRDefault="0076085A">
            <w:pPr>
              <w:pStyle w:val="ConsPlusNormal"/>
              <w:jc w:val="center"/>
            </w:pPr>
            <w:r>
              <w:t>6.</w:t>
            </w:r>
          </w:p>
        </w:tc>
        <w:tc>
          <w:tcPr>
            <w:tcW w:w="7200" w:type="dxa"/>
          </w:tcPr>
          <w:p w:rsidR="0076085A" w:rsidRDefault="0076085A">
            <w:pPr>
              <w:pStyle w:val="ConsPlusNormal"/>
            </w:pPr>
            <w:r>
              <w:t xml:space="preserve">Хозяйственные строения или сооружения,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w:t>
            </w:r>
            <w:r>
              <w:lastRenderedPageBreak/>
              <w:t>жилищного строительства</w:t>
            </w:r>
          </w:p>
        </w:tc>
        <w:tc>
          <w:tcPr>
            <w:tcW w:w="1242" w:type="dxa"/>
          </w:tcPr>
          <w:p w:rsidR="0076085A" w:rsidRDefault="0076085A">
            <w:pPr>
              <w:pStyle w:val="ConsPlusNormal"/>
              <w:jc w:val="center"/>
            </w:pPr>
            <w:r>
              <w:lastRenderedPageBreak/>
              <w:t>0,1</w:t>
            </w:r>
          </w:p>
        </w:tc>
      </w:tr>
      <w:tr w:rsidR="0076085A">
        <w:tc>
          <w:tcPr>
            <w:tcW w:w="624" w:type="dxa"/>
          </w:tcPr>
          <w:p w:rsidR="0076085A" w:rsidRDefault="0076085A">
            <w:pPr>
              <w:pStyle w:val="ConsPlusNormal"/>
              <w:jc w:val="center"/>
            </w:pPr>
            <w:r>
              <w:lastRenderedPageBreak/>
              <w:t>7.</w:t>
            </w:r>
          </w:p>
        </w:tc>
        <w:tc>
          <w:tcPr>
            <w:tcW w:w="7200" w:type="dxa"/>
          </w:tcPr>
          <w:p w:rsidR="0076085A" w:rsidRDefault="0076085A" w:rsidP="00910826">
            <w:pPr>
              <w:pStyle w:val="ConsPlusNormal"/>
            </w:pPr>
            <w:r>
              <w:t xml:space="preserve">Объекты налогообложения, включенные в перечень, определяемый в соответствии с </w:t>
            </w:r>
            <w:r w:rsidR="00910826">
              <w:t>пунктом 7 статьи 378.2</w:t>
            </w:r>
            <w:r>
              <w:t xml:space="preserve"> Налогового кодекса Российской Федерации, в отношении объектов налогообложения, предусмотренных </w:t>
            </w:r>
            <w:r w:rsidR="00910826">
              <w:t>абзацем вторым пункта 10 статьи 378.2</w:t>
            </w:r>
            <w:r>
              <w:t xml:space="preserve"> Налогового кодекса Российской Федерации, объекты налогообложения, кадастровая стоимость каждого из которых превышает 300 млн. рублей</w:t>
            </w:r>
          </w:p>
        </w:tc>
        <w:tc>
          <w:tcPr>
            <w:tcW w:w="1242" w:type="dxa"/>
          </w:tcPr>
          <w:p w:rsidR="0076085A" w:rsidRDefault="0076085A">
            <w:pPr>
              <w:pStyle w:val="ConsPlusNormal"/>
              <w:jc w:val="center"/>
            </w:pPr>
            <w:r>
              <w:t>2,0</w:t>
            </w:r>
          </w:p>
        </w:tc>
      </w:tr>
      <w:tr w:rsidR="0076085A">
        <w:tc>
          <w:tcPr>
            <w:tcW w:w="624" w:type="dxa"/>
          </w:tcPr>
          <w:p w:rsidR="0076085A" w:rsidRDefault="0076085A">
            <w:pPr>
              <w:pStyle w:val="ConsPlusNormal"/>
              <w:jc w:val="center"/>
            </w:pPr>
            <w:r>
              <w:t>8.</w:t>
            </w:r>
          </w:p>
        </w:tc>
        <w:tc>
          <w:tcPr>
            <w:tcW w:w="7200" w:type="dxa"/>
          </w:tcPr>
          <w:p w:rsidR="0076085A" w:rsidRDefault="0076085A">
            <w:pPr>
              <w:pStyle w:val="ConsPlusNormal"/>
            </w:pPr>
            <w:r>
              <w:t>Прочие объекты налогообложения</w:t>
            </w:r>
          </w:p>
        </w:tc>
        <w:tc>
          <w:tcPr>
            <w:tcW w:w="1242" w:type="dxa"/>
          </w:tcPr>
          <w:p w:rsidR="0076085A" w:rsidRDefault="0076085A">
            <w:pPr>
              <w:pStyle w:val="ConsPlusNormal"/>
              <w:jc w:val="center"/>
            </w:pPr>
            <w:r>
              <w:t>0,5</w:t>
            </w:r>
          </w:p>
        </w:tc>
      </w:tr>
    </w:tbl>
    <w:p w:rsidR="0076085A" w:rsidRDefault="0076085A">
      <w:pPr>
        <w:pStyle w:val="ConsPlusNormal"/>
        <w:jc w:val="both"/>
      </w:pPr>
    </w:p>
    <w:p w:rsidR="0076085A" w:rsidRDefault="0076085A">
      <w:pPr>
        <w:pStyle w:val="ConsPlusNormal"/>
        <w:ind w:firstLine="540"/>
        <w:jc w:val="both"/>
      </w:pPr>
      <w:r>
        <w:t>По налогу на имущество физических лиц за 2017 год применяются налоговые ставки, установленные на основе суммарной инвентаризационной стоимости объектов налогообложения, умноженной на коэффициент-дефлятор (с учетом доли налогоплательщика в праве общей собственности на каждый из таких объектов), в следующих размерах:</w:t>
      </w:r>
    </w:p>
    <w:p w:rsidR="0076085A" w:rsidRDefault="0076085A">
      <w:pPr>
        <w:pStyle w:val="ConsPlusNormal"/>
        <w:spacing w:before="220"/>
        <w:ind w:firstLine="540"/>
        <w:jc w:val="both"/>
      </w:pPr>
      <w:r>
        <w:t>- до 300 тыс. рублей (включительно) - 0,1%;</w:t>
      </w:r>
    </w:p>
    <w:p w:rsidR="0076085A" w:rsidRDefault="0076085A">
      <w:pPr>
        <w:pStyle w:val="ConsPlusNormal"/>
        <w:spacing w:before="220"/>
        <w:ind w:firstLine="540"/>
        <w:jc w:val="both"/>
      </w:pPr>
      <w:r>
        <w:t>- свыше 300 тыс. рублей до 500 тыс. рублей (включительно) - 0,3%;</w:t>
      </w:r>
    </w:p>
    <w:p w:rsidR="0076085A" w:rsidRDefault="0076085A">
      <w:pPr>
        <w:pStyle w:val="ConsPlusNormal"/>
        <w:spacing w:before="220"/>
        <w:ind w:firstLine="540"/>
        <w:jc w:val="both"/>
      </w:pPr>
      <w:r>
        <w:t>- свыше 500 тыс. рублей до 600 тыс. рублей (включительно) - 0,5%;</w:t>
      </w:r>
    </w:p>
    <w:p w:rsidR="0076085A" w:rsidRDefault="0076085A">
      <w:pPr>
        <w:pStyle w:val="ConsPlusNormal"/>
        <w:spacing w:before="220"/>
        <w:ind w:firstLine="540"/>
        <w:jc w:val="both"/>
      </w:pPr>
      <w:r>
        <w:t>- свыше 600 тыс. рублей до 800 тыс. рублей (включительно) - 0,9%;</w:t>
      </w:r>
    </w:p>
    <w:p w:rsidR="0076085A" w:rsidRDefault="0076085A">
      <w:pPr>
        <w:pStyle w:val="ConsPlusNormal"/>
        <w:spacing w:before="220"/>
        <w:ind w:firstLine="540"/>
        <w:jc w:val="both"/>
      </w:pPr>
      <w:r>
        <w:t>- свыше 800 тыс. рублей до 1100 тыс. рублей (включительно) - 1,6%;</w:t>
      </w:r>
    </w:p>
    <w:p w:rsidR="0076085A" w:rsidRDefault="0076085A">
      <w:pPr>
        <w:pStyle w:val="ConsPlusNormal"/>
        <w:spacing w:before="220"/>
        <w:ind w:firstLine="540"/>
        <w:jc w:val="both"/>
      </w:pPr>
      <w:r>
        <w:t>- свыше 1100 тыс. рублей - 2,0%.</w:t>
      </w:r>
    </w:p>
    <w:p w:rsidR="0076085A" w:rsidRDefault="0076085A">
      <w:pPr>
        <w:pStyle w:val="ConsPlusNormal"/>
        <w:jc w:val="both"/>
      </w:pPr>
      <w:r>
        <w:t xml:space="preserve">(введено </w:t>
      </w:r>
      <w:r w:rsidR="00910826">
        <w:t>решением</w:t>
      </w:r>
      <w:r>
        <w:t xml:space="preserve"> Липецкого городского Совета депутатов от 24.04.2018 N 659)</w:t>
      </w:r>
    </w:p>
    <w:p w:rsidR="0076085A" w:rsidRDefault="0076085A">
      <w:pPr>
        <w:pStyle w:val="ConsPlusNormal"/>
        <w:jc w:val="both"/>
      </w:pPr>
    </w:p>
    <w:p w:rsidR="0076085A" w:rsidRDefault="0076085A">
      <w:pPr>
        <w:pStyle w:val="ConsPlusNormal"/>
        <w:ind w:firstLine="540"/>
        <w:jc w:val="both"/>
        <w:outlineLvl w:val="1"/>
      </w:pPr>
      <w:r>
        <w:t>Статья 4. Налоговые льготы</w:t>
      </w:r>
    </w:p>
    <w:p w:rsidR="0076085A" w:rsidRDefault="0076085A">
      <w:pPr>
        <w:pStyle w:val="ConsPlusNormal"/>
        <w:jc w:val="both"/>
      </w:pPr>
    </w:p>
    <w:p w:rsidR="0076085A" w:rsidRDefault="0076085A">
      <w:pPr>
        <w:pStyle w:val="ConsPlusNormal"/>
        <w:ind w:firstLine="540"/>
        <w:jc w:val="both"/>
      </w:pPr>
      <w:r>
        <w:t xml:space="preserve">1. Право на налоговую льготу по налогу, кроме предусмотренных </w:t>
      </w:r>
      <w:r w:rsidR="00910826">
        <w:t>статьей 407</w:t>
      </w:r>
      <w:r>
        <w:t xml:space="preserve"> Налогового кодекса Российской Федерации, имеют следующие категории налогоплательщиков:</w:t>
      </w:r>
    </w:p>
    <w:p w:rsidR="0076085A" w:rsidRDefault="0076085A">
      <w:pPr>
        <w:pStyle w:val="ConsPlusNormal"/>
        <w:spacing w:before="220"/>
        <w:ind w:firstLine="540"/>
        <w:jc w:val="both"/>
      </w:pPr>
      <w:r>
        <w:t>1) дети-сироты в возрасте до 18 лет;</w:t>
      </w:r>
    </w:p>
    <w:p w:rsidR="0076085A" w:rsidRDefault="0076085A">
      <w:pPr>
        <w:pStyle w:val="ConsPlusNormal"/>
        <w:spacing w:before="220"/>
        <w:ind w:firstLine="540"/>
        <w:jc w:val="both"/>
      </w:pPr>
      <w:r>
        <w:t>2) дети, оставшиеся без попечения родителей, в возрасте до 18 лет;</w:t>
      </w:r>
    </w:p>
    <w:p w:rsidR="0076085A" w:rsidRDefault="0076085A">
      <w:pPr>
        <w:pStyle w:val="ConsPlusNormal"/>
        <w:spacing w:before="220"/>
        <w:ind w:firstLine="540"/>
        <w:jc w:val="both"/>
      </w:pPr>
      <w:r>
        <w:t>3) родители многодетной семьи, имеющие на воспитании трех и более детей в возрасте до 18 лет.</w:t>
      </w:r>
    </w:p>
    <w:p w:rsidR="0076085A" w:rsidRDefault="0076085A">
      <w:pPr>
        <w:pStyle w:val="ConsPlusNormal"/>
        <w:spacing w:before="220"/>
        <w:ind w:firstLine="540"/>
        <w:jc w:val="both"/>
      </w:pPr>
      <w:r>
        <w:t>2. Налоговая льгота предоставляется в размере подлежащей уплате налогоплательщиком суммы налога в отношении объекта налогообложения, находящегося в собственности налогоплательщика и не используемого налогоплательщиком в предпринимательской деятельности.</w:t>
      </w:r>
    </w:p>
    <w:p w:rsidR="0076085A" w:rsidRDefault="0076085A">
      <w:pPr>
        <w:pStyle w:val="ConsPlusNormal"/>
        <w:spacing w:before="220"/>
        <w:ind w:firstLine="540"/>
        <w:jc w:val="both"/>
      </w:pPr>
      <w:r>
        <w:t xml:space="preserve">3. При определении подлежащей уплате налогоплательщиком суммы налога налоговая льгота предоставляется </w:t>
      </w:r>
      <w:proofErr w:type="gramStart"/>
      <w:r>
        <w:t>в отношении одного объекта налогообложения каждого вида по выбору налогоплательщика вне зависимости от количества оснований для применения</w:t>
      </w:r>
      <w:proofErr w:type="gramEnd"/>
      <w:r>
        <w:t xml:space="preserve"> налоговых льгот.</w:t>
      </w:r>
    </w:p>
    <w:p w:rsidR="0076085A" w:rsidRDefault="0076085A">
      <w:pPr>
        <w:pStyle w:val="ConsPlusNormal"/>
        <w:spacing w:before="220"/>
        <w:ind w:firstLine="540"/>
        <w:jc w:val="both"/>
      </w:pPr>
      <w:r>
        <w:t>4. Налоговая льгота предоставляется в отношении следующих видов объектов налогообложения:</w:t>
      </w:r>
    </w:p>
    <w:p w:rsidR="0076085A" w:rsidRDefault="0076085A">
      <w:pPr>
        <w:pStyle w:val="ConsPlusNormal"/>
        <w:spacing w:before="220"/>
        <w:ind w:firstLine="540"/>
        <w:jc w:val="both"/>
      </w:pPr>
      <w:r>
        <w:t>1) квартира или комната;</w:t>
      </w:r>
    </w:p>
    <w:p w:rsidR="0076085A" w:rsidRDefault="0076085A">
      <w:pPr>
        <w:pStyle w:val="ConsPlusNormal"/>
        <w:spacing w:before="220"/>
        <w:ind w:firstLine="540"/>
        <w:jc w:val="both"/>
      </w:pPr>
      <w:r>
        <w:t>2) жилой дом;</w:t>
      </w:r>
    </w:p>
    <w:p w:rsidR="0076085A" w:rsidRDefault="0076085A">
      <w:pPr>
        <w:pStyle w:val="ConsPlusNormal"/>
        <w:spacing w:before="220"/>
        <w:ind w:firstLine="540"/>
        <w:jc w:val="both"/>
      </w:pPr>
      <w:r>
        <w:lastRenderedPageBreak/>
        <w:t xml:space="preserve">3) помещение или сооружение, комнаты, указанные в </w:t>
      </w:r>
      <w:r w:rsidR="00910826">
        <w:t xml:space="preserve">подпункте 14 пункта 1 статьи 407 </w:t>
      </w:r>
      <w:r>
        <w:t>Налогового кодекса Российской Федерации;</w:t>
      </w:r>
    </w:p>
    <w:p w:rsidR="0076085A" w:rsidRDefault="0076085A">
      <w:pPr>
        <w:pStyle w:val="ConsPlusNormal"/>
        <w:spacing w:before="220"/>
        <w:ind w:firstLine="540"/>
        <w:jc w:val="both"/>
      </w:pPr>
      <w:r>
        <w:t xml:space="preserve">4) хозяйственное строение или сооружение, указанные в </w:t>
      </w:r>
      <w:r w:rsidR="00910826">
        <w:t>подпункте 15 пункта 15 пункта 1 статьи 407</w:t>
      </w:r>
      <w:r>
        <w:t xml:space="preserve"> Налогового кодекса Российской Федерации;</w:t>
      </w:r>
    </w:p>
    <w:p w:rsidR="0076085A" w:rsidRDefault="0076085A">
      <w:pPr>
        <w:pStyle w:val="ConsPlusNormal"/>
        <w:spacing w:before="220"/>
        <w:ind w:firstLine="540"/>
        <w:jc w:val="both"/>
      </w:pPr>
      <w:r>
        <w:t xml:space="preserve">5) гараж или </w:t>
      </w:r>
      <w:proofErr w:type="spellStart"/>
      <w:r>
        <w:t>машино</w:t>
      </w:r>
      <w:proofErr w:type="spellEnd"/>
      <w:r>
        <w:t>-место.</w:t>
      </w:r>
    </w:p>
    <w:p w:rsidR="0076085A" w:rsidRDefault="0076085A">
      <w:pPr>
        <w:pStyle w:val="ConsPlusNormal"/>
        <w:spacing w:before="220"/>
        <w:ind w:firstLine="540"/>
        <w:jc w:val="both"/>
      </w:pPr>
      <w:r>
        <w:t>5. Налоговая льгота не предоставляется в отношении объектов налогообложения, указанных в</w:t>
      </w:r>
      <w:r w:rsidR="00910826">
        <w:t xml:space="preserve"> подпункте 2 пункта 2 статьи 406</w:t>
      </w:r>
      <w:r>
        <w:t xml:space="preserve"> Налогового кодекса Российской Федерации.</w:t>
      </w:r>
    </w:p>
    <w:p w:rsidR="0076085A" w:rsidRDefault="0076085A">
      <w:pPr>
        <w:pStyle w:val="ConsPlusNormal"/>
        <w:spacing w:before="220"/>
        <w:ind w:firstLine="540"/>
        <w:jc w:val="both"/>
      </w:pPr>
      <w:r>
        <w:t xml:space="preserve">6. </w:t>
      </w:r>
      <w:proofErr w:type="gramStart"/>
      <w:r>
        <w:t>Лицо, имеющее право на налоговую льготу, представляет заявление о предоставлении льготы, документы, подтверждающие право налогоплательщика на налоговую льготу, уведомление о выбранных объектах налогообложения, в отношении которых предоставляется налоговая льгота, в налоговый орган по своему выбору в срок до 01 ноября года, являющегося налоговым периодом, начиная с которого в отношении указанных объектов применяется налоговая льгота.</w:t>
      </w:r>
      <w:proofErr w:type="gramEnd"/>
    </w:p>
    <w:p w:rsidR="0076085A" w:rsidRDefault="0076085A">
      <w:pPr>
        <w:pStyle w:val="ConsPlusNormal"/>
        <w:spacing w:before="220"/>
        <w:ind w:firstLine="540"/>
        <w:jc w:val="both"/>
      </w:pPr>
      <w:r>
        <w:t>7. Документами, подтверждающими право на налоговую льготу, являются:</w:t>
      </w:r>
    </w:p>
    <w:p w:rsidR="0076085A" w:rsidRDefault="0076085A">
      <w:pPr>
        <w:pStyle w:val="ConsPlusNormal"/>
        <w:spacing w:before="220"/>
        <w:ind w:firstLine="540"/>
        <w:jc w:val="both"/>
      </w:pPr>
      <w:r>
        <w:t>1) для детей-сирот и детей, оставшихся без попечения родителей, в возрасте до 18 лет:</w:t>
      </w:r>
    </w:p>
    <w:p w:rsidR="0076085A" w:rsidRDefault="0076085A">
      <w:pPr>
        <w:pStyle w:val="ConsPlusNormal"/>
        <w:spacing w:before="220"/>
        <w:ind w:firstLine="540"/>
        <w:jc w:val="both"/>
      </w:pPr>
      <w:r>
        <w:t>- справка из органов опеки и попечительства о том, что ребенок относится к категории детей-сирот или детей, оставшихся без попечения родителей;</w:t>
      </w:r>
    </w:p>
    <w:p w:rsidR="0076085A" w:rsidRDefault="0076085A">
      <w:pPr>
        <w:pStyle w:val="ConsPlusNormal"/>
        <w:spacing w:before="220"/>
        <w:ind w:firstLine="540"/>
        <w:jc w:val="both"/>
      </w:pPr>
      <w:r>
        <w:t>- акт органа опеки и попечительства о назначении опеки (попечительства);</w:t>
      </w:r>
    </w:p>
    <w:p w:rsidR="0076085A" w:rsidRDefault="0076085A">
      <w:pPr>
        <w:pStyle w:val="ConsPlusNormal"/>
        <w:spacing w:before="220"/>
        <w:ind w:firstLine="540"/>
        <w:jc w:val="both"/>
      </w:pPr>
      <w:r>
        <w:t>- акт органа опеки и попечительства об определении на полное государственное обеспечение;</w:t>
      </w:r>
    </w:p>
    <w:p w:rsidR="0076085A" w:rsidRDefault="0076085A">
      <w:pPr>
        <w:pStyle w:val="ConsPlusNormal"/>
        <w:spacing w:before="220"/>
        <w:ind w:firstLine="540"/>
        <w:jc w:val="both"/>
      </w:pPr>
      <w:r>
        <w:t>2) для родителей многодетной семьи, имеющих на воспитании трех и более детей в возрасте до 18 лет:</w:t>
      </w:r>
    </w:p>
    <w:p w:rsidR="0076085A" w:rsidRDefault="0076085A">
      <w:pPr>
        <w:pStyle w:val="ConsPlusNormal"/>
        <w:spacing w:before="220"/>
        <w:ind w:firstLine="540"/>
        <w:jc w:val="both"/>
      </w:pPr>
      <w:r>
        <w:t>- свидетельства о рождении трех и более несовершеннолетних детей;</w:t>
      </w:r>
    </w:p>
    <w:p w:rsidR="0076085A" w:rsidRDefault="0076085A">
      <w:pPr>
        <w:pStyle w:val="ConsPlusNormal"/>
        <w:spacing w:before="220"/>
        <w:ind w:firstLine="540"/>
        <w:jc w:val="both"/>
      </w:pPr>
      <w:r>
        <w:t>- удостоверение многодетной семьи.</w:t>
      </w:r>
    </w:p>
    <w:p w:rsidR="0076085A" w:rsidRDefault="0076085A">
      <w:pPr>
        <w:pStyle w:val="ConsPlusNormal"/>
        <w:spacing w:before="220"/>
        <w:ind w:firstLine="540"/>
        <w:jc w:val="both"/>
      </w:pPr>
      <w:r>
        <w:t>8. Налогоплательщик, представивший в налоговый орган уведомление о выбранном объекте налогообложения, не вправе после 01 ноября года, являющегося налоговым периодом, представлять уточненное уведомление с изменением объекта налогообложения, в отношении которого в указанном налоговом периоде предоставляется налоговая льгота.</w:t>
      </w:r>
    </w:p>
    <w:p w:rsidR="0076085A" w:rsidRDefault="0076085A">
      <w:pPr>
        <w:pStyle w:val="ConsPlusNormal"/>
        <w:spacing w:before="220"/>
        <w:ind w:firstLine="540"/>
        <w:jc w:val="both"/>
      </w:pPr>
      <w:r>
        <w:t>При непредставлении налогоплательщиком, имеющим право на налоговую льготу,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w:t>
      </w:r>
    </w:p>
    <w:p w:rsidR="0076085A" w:rsidRDefault="0076085A">
      <w:pPr>
        <w:pStyle w:val="ConsPlusNormal"/>
        <w:jc w:val="both"/>
      </w:pPr>
    </w:p>
    <w:p w:rsidR="0076085A" w:rsidRDefault="0076085A">
      <w:pPr>
        <w:pStyle w:val="ConsPlusNormal"/>
        <w:ind w:firstLine="540"/>
        <w:jc w:val="both"/>
        <w:outlineLvl w:val="1"/>
      </w:pPr>
      <w:r>
        <w:t>Статья 5. Заключительные положения</w:t>
      </w:r>
    </w:p>
    <w:p w:rsidR="0076085A" w:rsidRDefault="0076085A">
      <w:pPr>
        <w:pStyle w:val="ConsPlusNormal"/>
        <w:jc w:val="both"/>
      </w:pPr>
    </w:p>
    <w:p w:rsidR="0076085A" w:rsidRDefault="0076085A">
      <w:pPr>
        <w:pStyle w:val="ConsPlusNormal"/>
        <w:ind w:firstLine="540"/>
        <w:jc w:val="both"/>
      </w:pPr>
      <w:r>
        <w:t>Настоящее Положение вступает в силу с 01 января 2018 года, но не ранее чем по истечении одного месяца со дня его официального опубликования и не ранее первого числа очередного налогового периода.</w:t>
      </w:r>
    </w:p>
    <w:p w:rsidR="0076085A" w:rsidRDefault="0076085A">
      <w:pPr>
        <w:pStyle w:val="ConsPlusNormal"/>
        <w:jc w:val="both"/>
      </w:pPr>
    </w:p>
    <w:p w:rsidR="0076085A" w:rsidRPr="00910826" w:rsidRDefault="0076085A">
      <w:pPr>
        <w:pStyle w:val="ConsPlusNormal"/>
        <w:jc w:val="right"/>
        <w:rPr>
          <w:i/>
        </w:rPr>
      </w:pPr>
      <w:r w:rsidRPr="00910826">
        <w:rPr>
          <w:i/>
        </w:rPr>
        <w:t>Глава города Липецка</w:t>
      </w:r>
    </w:p>
    <w:p w:rsidR="0076085A" w:rsidRPr="00910826" w:rsidRDefault="0076085A">
      <w:pPr>
        <w:pStyle w:val="ConsPlusNormal"/>
        <w:jc w:val="right"/>
        <w:rPr>
          <w:i/>
        </w:rPr>
      </w:pPr>
      <w:proofErr w:type="spellStart"/>
      <w:r w:rsidRPr="00910826">
        <w:rPr>
          <w:i/>
        </w:rPr>
        <w:t>С.В.И</w:t>
      </w:r>
      <w:r w:rsidR="00910826" w:rsidRPr="00910826">
        <w:rPr>
          <w:i/>
        </w:rPr>
        <w:t>ванов</w:t>
      </w:r>
      <w:proofErr w:type="spellEnd"/>
    </w:p>
    <w:sectPr w:rsidR="0076085A" w:rsidRPr="00910826" w:rsidSect="00DF48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85A"/>
    <w:rsid w:val="007178F4"/>
    <w:rsid w:val="0076085A"/>
    <w:rsid w:val="00822FEE"/>
    <w:rsid w:val="00910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08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08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6085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08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08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6085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4B767-2600-4A8C-817E-C8206CFD2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Покачалова Анна Александровна</dc:creator>
  <cp:lastModifiedBy>admin</cp:lastModifiedBy>
  <cp:revision>2</cp:revision>
  <dcterms:created xsi:type="dcterms:W3CDTF">2018-06-28T13:15:00Z</dcterms:created>
  <dcterms:modified xsi:type="dcterms:W3CDTF">2018-06-28T13:15:00Z</dcterms:modified>
</cp:coreProperties>
</file>