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Приложение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справке УФНС России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 Магаданской области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13 января  2022 г.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Статистика по обращениям граждан,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поступившим</w:t>
      </w:r>
      <w:proofErr w:type="gramEnd"/>
      <w:r>
        <w:rPr>
          <w:rFonts w:ascii="Times New Roman" w:hAnsi="Times New Roman"/>
          <w:sz w:val="24"/>
          <w:szCs w:val="24"/>
        </w:rPr>
        <w:t xml:space="preserve"> в УФНС России по Магаданской области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период с 1 октября </w:t>
      </w:r>
      <w:r>
        <w:rPr>
          <w:rFonts w:ascii="Times New Roman" w:hAnsi="Times New Roman"/>
          <w:noProof/>
          <w:color w:val="000000"/>
          <w:sz w:val="24"/>
          <w:szCs w:val="24"/>
        </w:rPr>
        <w:t>2021 г. по 31 декабря 2021 г.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163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663"/>
        <w:gridCol w:w="754"/>
        <w:gridCol w:w="709"/>
        <w:gridCol w:w="851"/>
        <w:gridCol w:w="850"/>
        <w:gridCol w:w="851"/>
        <w:gridCol w:w="851"/>
        <w:gridCol w:w="850"/>
        <w:gridCol w:w="850"/>
        <w:gridCol w:w="851"/>
        <w:gridCol w:w="710"/>
        <w:gridCol w:w="850"/>
        <w:gridCol w:w="849"/>
        <w:gridCol w:w="850"/>
        <w:gridCol w:w="851"/>
        <w:gridCol w:w="709"/>
        <w:gridCol w:w="709"/>
        <w:gridCol w:w="708"/>
      </w:tblGrid>
      <w:tr>
        <w:trPr>
          <w:trHeight w:val="3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территориального налогового органа</w:t>
            </w:r>
          </w:p>
        </w:tc>
        <w:tc>
          <w:tcPr>
            <w:tcW w:w="1431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65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вопросов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обращений, шт. (%)</w:t>
            </w:r>
          </w:p>
        </w:tc>
      </w:tr>
      <w:tr>
        <w:trPr>
          <w:cantSplit/>
          <w:trHeight w:val="275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0003.0008.0086.0540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0003.0008.0086.0558  Задолженность по налогам, сборам и взносам  в бюджеты государственных 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0003.0008.0086.0560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Уклонение от налогообложения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0003.0008.0086.0564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0003.0008.0086.0557 Возврат или  зачёт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0003.0008.0086.0552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работы с налогоплательщиками</w:t>
            </w:r>
          </w:p>
        </w:tc>
        <w:tc>
          <w:tcPr>
            <w:tcW w:w="84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0003.0008.0086.0565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Регистрация юридических лиц, физических лиц  в качестве индивид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редпринимателей и КФХ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003.0008.0086.0567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Надзор в области организации и проведения  азартных игр и лотерей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003.0008.0086.0551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Учёт налогоплательщиков. Получение и отказ от ИНН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0003.0008.0086.0568 Регистрация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– кассовой техники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используемой организациями и индивид. предпринимателями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другим вопросам</w:t>
            </w:r>
          </w:p>
        </w:tc>
      </w:tr>
      <w:tr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4900</w:t>
            </w: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УФНС России 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right="-154" w:hanging="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08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right="-10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199</w:t>
            </w:r>
          </w:p>
        </w:tc>
      </w:tr>
      <w:tr>
        <w:trPr>
          <w:trHeight w:val="8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right="-154" w:hanging="108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ru-RU"/>
              </w:rPr>
              <w:t>100%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20,8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27,2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0,5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hanging="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08" w:right="-107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0,2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right="-106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0,3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19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val="en-US" w:eastAsia="ru-RU"/>
        </w:rPr>
      </w:pPr>
    </w:p>
    <w:sectPr>
      <w:headerReference w:type="default" r:id="rId8"/>
      <w:pgSz w:w="16838" w:h="11906" w:orient="landscape" w:code="9"/>
      <w:pgMar w:top="993" w:right="253" w:bottom="284" w:left="28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jc w:val="right"/>
    </w:pPr>
    <w:r>
      <w:t xml:space="preserve">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-0~2\AppData\Local\Temp\rad7058DBlankToIm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FBA60-9D55-4693-88A0-330DF138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rad7058DBlankToImport.dot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Вараксина Юлия Викторовна</dc:creator>
  <cp:lastModifiedBy>Дудникова</cp:lastModifiedBy>
  <cp:revision>2</cp:revision>
  <cp:lastPrinted>2022-01-10T05:47:00Z</cp:lastPrinted>
  <dcterms:created xsi:type="dcterms:W3CDTF">2022-01-13T06:15:00Z</dcterms:created>
  <dcterms:modified xsi:type="dcterms:W3CDTF">2022-01-13T06:15:00Z</dcterms:modified>
</cp:coreProperties>
</file>