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0" w:line="240" w:lineRule="auto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 </w:t>
      </w:r>
      <w:r>
        <w:rPr>
          <w:rFonts w:ascii="Times New Roman" w:hAnsi="Times New Roman"/>
          <w:sz w:val="18"/>
          <w:szCs w:val="18"/>
        </w:rPr>
        <w:tab/>
      </w:r>
      <w:r>
        <w:rPr>
          <w:rFonts w:ascii="Times New Roman" w:hAnsi="Times New Roman"/>
          <w:sz w:val="18"/>
          <w:szCs w:val="18"/>
        </w:rPr>
        <w:tab/>
      </w:r>
      <w:r>
        <w:rPr>
          <w:rFonts w:ascii="Times New Roman" w:hAnsi="Times New Roman"/>
          <w:sz w:val="18"/>
          <w:szCs w:val="18"/>
        </w:rPr>
        <w:tab/>
      </w:r>
      <w:r>
        <w:rPr>
          <w:rFonts w:ascii="Times New Roman" w:hAnsi="Times New Roman"/>
          <w:sz w:val="18"/>
          <w:szCs w:val="18"/>
        </w:rPr>
        <w:tab/>
      </w:r>
      <w:r>
        <w:rPr>
          <w:rFonts w:ascii="Times New Roman" w:hAnsi="Times New Roman"/>
          <w:sz w:val="18"/>
          <w:szCs w:val="18"/>
        </w:rPr>
        <w:tab/>
      </w:r>
      <w:r>
        <w:rPr>
          <w:rFonts w:ascii="Times New Roman" w:hAnsi="Times New Roman"/>
          <w:sz w:val="18"/>
          <w:szCs w:val="18"/>
        </w:rPr>
        <w:tab/>
      </w:r>
      <w:r>
        <w:rPr>
          <w:rFonts w:ascii="Times New Roman" w:hAnsi="Times New Roman"/>
          <w:sz w:val="18"/>
          <w:szCs w:val="18"/>
        </w:rPr>
        <w:tab/>
      </w:r>
      <w:r>
        <w:rPr>
          <w:rFonts w:ascii="Times New Roman" w:hAnsi="Times New Roman"/>
          <w:sz w:val="18"/>
          <w:szCs w:val="18"/>
        </w:rPr>
        <w:tab/>
      </w:r>
      <w:r>
        <w:rPr>
          <w:rFonts w:ascii="Times New Roman" w:hAnsi="Times New Roman"/>
          <w:sz w:val="18"/>
          <w:szCs w:val="18"/>
        </w:rPr>
        <w:tab/>
      </w:r>
      <w:r>
        <w:rPr>
          <w:rFonts w:ascii="Times New Roman" w:hAnsi="Times New Roman"/>
          <w:sz w:val="18"/>
          <w:szCs w:val="18"/>
        </w:rPr>
        <w:tab/>
      </w:r>
      <w:r>
        <w:rPr>
          <w:rFonts w:ascii="Times New Roman" w:hAnsi="Times New Roman"/>
          <w:sz w:val="18"/>
          <w:szCs w:val="18"/>
        </w:rPr>
        <w:tab/>
      </w:r>
      <w:r>
        <w:rPr>
          <w:rFonts w:ascii="Times New Roman" w:hAnsi="Times New Roman"/>
          <w:sz w:val="18"/>
          <w:szCs w:val="18"/>
        </w:rPr>
        <w:tab/>
      </w:r>
      <w:r>
        <w:rPr>
          <w:rFonts w:ascii="Times New Roman" w:hAnsi="Times New Roman"/>
          <w:sz w:val="18"/>
          <w:szCs w:val="18"/>
        </w:rPr>
        <w:tab/>
      </w:r>
      <w:r>
        <w:rPr>
          <w:rFonts w:ascii="Times New Roman" w:hAnsi="Times New Roman"/>
          <w:sz w:val="18"/>
          <w:szCs w:val="18"/>
        </w:rPr>
        <w:tab/>
      </w:r>
      <w:r>
        <w:rPr>
          <w:rFonts w:ascii="Times New Roman" w:hAnsi="Times New Roman"/>
          <w:sz w:val="18"/>
          <w:szCs w:val="18"/>
        </w:rPr>
        <w:tab/>
      </w:r>
      <w:r>
        <w:rPr>
          <w:rFonts w:ascii="Times New Roman" w:hAnsi="Times New Roman"/>
          <w:sz w:val="18"/>
          <w:szCs w:val="18"/>
        </w:rPr>
        <w:tab/>
      </w:r>
      <w:r>
        <w:rPr>
          <w:rFonts w:ascii="Times New Roman" w:hAnsi="Times New Roman"/>
          <w:sz w:val="18"/>
          <w:szCs w:val="18"/>
        </w:rPr>
        <w:tab/>
      </w:r>
      <w:r>
        <w:rPr>
          <w:rFonts w:ascii="Times New Roman" w:hAnsi="Times New Roman"/>
          <w:sz w:val="18"/>
          <w:szCs w:val="18"/>
        </w:rPr>
        <w:tab/>
        <w:t xml:space="preserve">          Приложение</w:t>
      </w:r>
    </w:p>
    <w:p>
      <w:pPr>
        <w:spacing w:after="0" w:line="240" w:lineRule="auto"/>
        <w:ind w:firstLine="13183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к справке УФНС России </w:t>
      </w:r>
    </w:p>
    <w:p>
      <w:pPr>
        <w:spacing w:after="0" w:line="240" w:lineRule="auto"/>
        <w:ind w:firstLine="13183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по Магаданской области </w:t>
      </w:r>
    </w:p>
    <w:p>
      <w:pPr>
        <w:spacing w:after="0" w:line="240" w:lineRule="auto"/>
        <w:ind w:firstLine="13183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от  </w:t>
      </w:r>
      <w:r>
        <w:rPr>
          <w:rFonts w:ascii="Times New Roman" w:hAnsi="Times New Roman"/>
          <w:sz w:val="18"/>
          <w:szCs w:val="18"/>
          <w:lang w:val="en-US"/>
        </w:rPr>
        <w:t>8</w:t>
      </w:r>
      <w:bookmarkStart w:id="0" w:name="_GoBack"/>
      <w:bookmarkEnd w:id="0"/>
      <w:r>
        <w:rPr>
          <w:rFonts w:ascii="Times New Roman" w:hAnsi="Times New Roman"/>
          <w:sz w:val="18"/>
          <w:szCs w:val="18"/>
        </w:rPr>
        <w:t xml:space="preserve"> апреля 2025 г.</w:t>
      </w:r>
    </w:p>
    <w:p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    </w:t>
      </w:r>
    </w:p>
    <w:p>
      <w:pPr>
        <w:spacing w:after="0" w:line="240" w:lineRule="auto"/>
        <w:ind w:left="142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Статистика по обращениям граждан,</w:t>
      </w:r>
    </w:p>
    <w:p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поступившим</w:t>
      </w:r>
      <w:proofErr w:type="gramEnd"/>
      <w:r>
        <w:rPr>
          <w:rFonts w:ascii="Times New Roman" w:hAnsi="Times New Roman"/>
          <w:sz w:val="24"/>
          <w:szCs w:val="24"/>
        </w:rPr>
        <w:t xml:space="preserve"> в УФНС России по Магаданской области</w:t>
      </w:r>
    </w:p>
    <w:p>
      <w:pPr>
        <w:spacing w:after="0" w:line="240" w:lineRule="auto"/>
        <w:jc w:val="center"/>
        <w:rPr>
          <w:rFonts w:ascii="Times New Roman" w:hAnsi="Times New Roman"/>
          <w:noProof/>
          <w:color w:val="000000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за период с 1 января </w:t>
      </w:r>
      <w:r>
        <w:rPr>
          <w:rFonts w:ascii="Times New Roman" w:hAnsi="Times New Roman"/>
          <w:noProof/>
          <w:color w:val="000000"/>
          <w:sz w:val="24"/>
          <w:szCs w:val="24"/>
        </w:rPr>
        <w:t>2025 г. по 31 марта 2025 г.</w:t>
      </w:r>
    </w:p>
    <w:p>
      <w:pPr>
        <w:spacing w:after="0" w:line="240" w:lineRule="auto"/>
        <w:jc w:val="center"/>
        <w:rPr>
          <w:rFonts w:ascii="Times New Roman" w:hAnsi="Times New Roman"/>
          <w:noProof/>
          <w:color w:val="000000"/>
          <w:sz w:val="24"/>
          <w:szCs w:val="24"/>
        </w:rPr>
      </w:pPr>
    </w:p>
    <w:p>
      <w:pPr>
        <w:spacing w:after="0" w:line="240" w:lineRule="auto"/>
        <w:jc w:val="center"/>
        <w:rPr>
          <w:rFonts w:ascii="Times New Roman" w:hAnsi="Times New Roman"/>
          <w:noProof/>
          <w:color w:val="000000"/>
          <w:sz w:val="28"/>
          <w:szCs w:val="28"/>
        </w:rPr>
      </w:pPr>
    </w:p>
    <w:tbl>
      <w:tblPr>
        <w:tblW w:w="16302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26"/>
        <w:gridCol w:w="1559"/>
        <w:gridCol w:w="663"/>
        <w:gridCol w:w="896"/>
        <w:gridCol w:w="567"/>
        <w:gridCol w:w="851"/>
        <w:gridCol w:w="850"/>
        <w:gridCol w:w="851"/>
        <w:gridCol w:w="851"/>
        <w:gridCol w:w="850"/>
        <w:gridCol w:w="850"/>
        <w:gridCol w:w="851"/>
        <w:gridCol w:w="710"/>
        <w:gridCol w:w="850"/>
        <w:gridCol w:w="851"/>
        <w:gridCol w:w="850"/>
        <w:gridCol w:w="709"/>
        <w:gridCol w:w="709"/>
        <w:gridCol w:w="991"/>
        <w:gridCol w:w="567"/>
      </w:tblGrid>
      <w:tr>
        <w:trPr>
          <w:trHeight w:val="393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№ </w:t>
            </w:r>
            <w:proofErr w:type="gramStart"/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п</w:t>
            </w:r>
            <w:proofErr w:type="gramEnd"/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/п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Наименование территориального налогового органа</w:t>
            </w:r>
          </w:p>
        </w:tc>
        <w:tc>
          <w:tcPr>
            <w:tcW w:w="14317" w:type="dxa"/>
            <w:gridSpan w:val="1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Количество обращений</w:t>
            </w:r>
          </w:p>
        </w:tc>
      </w:tr>
      <w:tr>
        <w:trPr>
          <w:trHeight w:val="397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6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13654" w:type="dxa"/>
            <w:gridSpan w:val="1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в том числе по тематике вопросов </w:t>
            </w:r>
            <w:r>
              <w:rPr>
                <w:rFonts w:ascii="Times New Roman" w:hAnsi="Times New Roman"/>
                <w:noProof/>
                <w:color w:val="000000"/>
                <w:sz w:val="16"/>
                <w:szCs w:val="16"/>
              </w:rPr>
              <w:t xml:space="preserve">в </w:t>
            </w: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соответствии с </w:t>
            </w:r>
            <w:r>
              <w:rPr>
                <w:rFonts w:ascii="Times New Roman" w:hAnsi="Times New Roman"/>
                <w:noProof/>
                <w:color w:val="000000"/>
                <w:sz w:val="16"/>
                <w:szCs w:val="16"/>
              </w:rPr>
              <w:t>тематическим классификатором обращений, шт. (%)</w:t>
            </w:r>
          </w:p>
        </w:tc>
      </w:tr>
      <w:tr>
        <w:trPr>
          <w:cantSplit/>
          <w:trHeight w:val="2759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66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ru-RU"/>
              </w:rPr>
              <w:t>0003.0008.0086.1198 Обжалование решений государственных органов и должностных лиц‚ споров с физическими и юридическими лицами по обжалованию актов ненормативного характера и действий (бездействия) должностных лиц</w:t>
            </w:r>
          </w:p>
        </w:tc>
        <w:tc>
          <w:tcPr>
            <w:tcW w:w="567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0003.0008.0086.0540 </w:t>
            </w:r>
          </w:p>
          <w:p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Земельный налог</w:t>
            </w:r>
          </w:p>
        </w:tc>
        <w:tc>
          <w:tcPr>
            <w:tcW w:w="851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0003.0008.0086.0543 </w:t>
            </w:r>
          </w:p>
          <w:p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noProof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Транспортный налог</w:t>
            </w:r>
          </w:p>
        </w:tc>
        <w:tc>
          <w:tcPr>
            <w:tcW w:w="850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0003.0008.0086.0544 </w:t>
            </w:r>
          </w:p>
          <w:p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noProof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Налог на имущество</w:t>
            </w:r>
          </w:p>
        </w:tc>
        <w:tc>
          <w:tcPr>
            <w:tcW w:w="851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0003.0008.0086.0545</w:t>
            </w:r>
          </w:p>
          <w:p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noProof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Налог на доходы физических лиц</w:t>
            </w:r>
          </w:p>
        </w:tc>
        <w:tc>
          <w:tcPr>
            <w:tcW w:w="851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</w:tcPr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 xml:space="preserve">                </w:t>
            </w:r>
            <w:r>
              <w:rPr>
                <w:rFonts w:ascii="Times New Roman" w:hAnsi="Times New Roman"/>
                <w:sz w:val="16"/>
                <w:szCs w:val="16"/>
              </w:rPr>
              <w:t>0003.0008.0086.0548 Налогообложение малого бизнеса, специальных налоговых режимов</w:t>
            </w:r>
          </w:p>
        </w:tc>
        <w:tc>
          <w:tcPr>
            <w:tcW w:w="850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0003.0008.0086.0558  Задолженность по налогам, сборам и взносам  в бюджеты государственных  внебюджетных фондов</w:t>
            </w:r>
          </w:p>
        </w:tc>
        <w:tc>
          <w:tcPr>
            <w:tcW w:w="850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0003.0008.0086.0560</w:t>
            </w:r>
          </w:p>
          <w:p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Уклонение от налогообложения</w:t>
            </w:r>
          </w:p>
        </w:tc>
        <w:tc>
          <w:tcPr>
            <w:tcW w:w="851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0003.0008.0086.0564</w:t>
            </w:r>
          </w:p>
          <w:p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Контроль исполнения налогового законодательства физическими и юридическими лицами</w:t>
            </w:r>
          </w:p>
        </w:tc>
        <w:tc>
          <w:tcPr>
            <w:tcW w:w="710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</w:tcPr>
          <w:p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0003.0008.0086.0557 Возврат или  зачёт излишне уплаченных или излишне взысканных сумм налогов, сборов, взносов, пеней и штрафов</w:t>
            </w:r>
          </w:p>
        </w:tc>
        <w:tc>
          <w:tcPr>
            <w:tcW w:w="850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0003.0008.0086.0552 </w:t>
            </w:r>
          </w:p>
          <w:p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Организация работы с налогоплательщиками</w:t>
            </w:r>
          </w:p>
        </w:tc>
        <w:tc>
          <w:tcPr>
            <w:tcW w:w="851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 xml:space="preserve">0003.0008.0086.0565 </w:t>
            </w:r>
          </w:p>
          <w:p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Регистрация юридических лиц, физических лиц  в качестве индивид</w:t>
            </w:r>
            <w:proofErr w:type="gramStart"/>
            <w:r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.</w:t>
            </w:r>
            <w:proofErr w:type="gramEnd"/>
            <w:r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п</w:t>
            </w:r>
            <w:proofErr w:type="gramEnd"/>
            <w:r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редпринимателей и КФХ</w:t>
            </w:r>
          </w:p>
        </w:tc>
        <w:tc>
          <w:tcPr>
            <w:tcW w:w="850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0003.0008.0086.0562 Оказание услуг в электронной форме. Пользование информационными ресурсами</w:t>
            </w:r>
          </w:p>
        </w:tc>
        <w:tc>
          <w:tcPr>
            <w:tcW w:w="709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003.0008.0086.0567</w:t>
            </w:r>
          </w:p>
          <w:p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Надзор в области организации и проведения  азартных игр и лотерей</w:t>
            </w:r>
          </w:p>
        </w:tc>
        <w:tc>
          <w:tcPr>
            <w:tcW w:w="709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003.0008.0086.0551</w:t>
            </w:r>
          </w:p>
          <w:p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Учёт налогоплательщиков. Получение и отказ от ИНН</w:t>
            </w:r>
          </w:p>
        </w:tc>
        <w:tc>
          <w:tcPr>
            <w:tcW w:w="991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</w:tcPr>
          <w:p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0003.0008.0086.0568 Регистрация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контрольно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 – кассовой техники</w:t>
            </w:r>
            <w:proofErr w:type="gramStart"/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 ,</w:t>
            </w:r>
            <w:proofErr w:type="gramEnd"/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 используемой организациями и индивид. предпринимателями</w:t>
            </w:r>
          </w:p>
          <w:p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</w:tcPr>
          <w:p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По другим вопросам</w:t>
            </w:r>
          </w:p>
        </w:tc>
      </w:tr>
      <w:tr>
        <w:trPr>
          <w:trHeight w:val="616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>4900</w:t>
            </w:r>
          </w:p>
          <w:p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УФНС России   по Магаданской области</w:t>
            </w:r>
          </w:p>
          <w:p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1030</w:t>
            </w:r>
          </w:p>
        </w:tc>
        <w:tc>
          <w:tcPr>
            <w:tcW w:w="8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38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after="0" w:line="240" w:lineRule="auto"/>
              <w:ind w:left="-108" w:right="-109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116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104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86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64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55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after="0" w:line="240" w:lineRule="auto"/>
              <w:ind w:left="-108" w:right="-109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174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after="0" w:line="240" w:lineRule="auto"/>
              <w:ind w:left="-108" w:right="-109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63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277</w:t>
            </w:r>
          </w:p>
        </w:tc>
      </w:tr>
      <w:tr>
        <w:trPr>
          <w:trHeight w:val="616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</w:rPr>
            </w:pPr>
          </w:p>
        </w:tc>
        <w:tc>
          <w:tcPr>
            <w:tcW w:w="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100%</w:t>
            </w:r>
          </w:p>
        </w:tc>
        <w:tc>
          <w:tcPr>
            <w:tcW w:w="8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0,5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0,6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0,1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3,7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after="0" w:line="240" w:lineRule="auto"/>
              <w:ind w:left="-108" w:right="-109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11,3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10,1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8,4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0,6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0,4</w:t>
            </w:r>
          </w:p>
        </w:tc>
        <w:tc>
          <w:tcPr>
            <w:tcW w:w="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6,2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5,4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after="0" w:line="240" w:lineRule="auto"/>
              <w:ind w:left="-108" w:right="-109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0,6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16,8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after="0" w:line="240" w:lineRule="auto"/>
              <w:ind w:left="-108" w:right="-109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6,1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1,0</w:t>
            </w:r>
          </w:p>
        </w:tc>
        <w:tc>
          <w:tcPr>
            <w:tcW w:w="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0,5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27,7</w:t>
            </w:r>
          </w:p>
        </w:tc>
      </w:tr>
    </w:tbl>
    <w:p>
      <w:pPr>
        <w:spacing w:after="0" w:line="240" w:lineRule="auto"/>
        <w:rPr>
          <w:rFonts w:ascii="Times New Roman" w:eastAsia="Times New Roman" w:hAnsi="Times New Roman"/>
          <w:color w:val="000000"/>
          <w:sz w:val="18"/>
          <w:szCs w:val="18"/>
          <w:lang w:eastAsia="ru-RU"/>
        </w:rPr>
      </w:pPr>
    </w:p>
    <w:sectPr>
      <w:headerReference w:type="default" r:id="rId8"/>
      <w:pgSz w:w="16838" w:h="11906" w:orient="landscape" w:code="9"/>
      <w:pgMar w:top="1702" w:right="253" w:bottom="284" w:left="284" w:header="454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>
      <w:pPr>
        <w:spacing w:after="0" w:line="240" w:lineRule="auto"/>
      </w:pPr>
      <w:r>
        <w:separator/>
      </w:r>
    </w:p>
  </w:endnote>
  <w:endnote w:type="continuationSeparator" w:id="0">
    <w:p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>
      <w:pPr>
        <w:spacing w:after="0" w:line="240" w:lineRule="auto"/>
      </w:pPr>
      <w:r>
        <w:separator/>
      </w:r>
    </w:p>
  </w:footnote>
  <w:footnote w:type="continuationSeparator" w:id="0">
    <w:p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a5"/>
      <w:jc w:val="right"/>
    </w:pPr>
    <w:r>
      <w:t xml:space="preserve"> </w:t>
    </w:r>
    <w:r>
      <w:tab/>
    </w: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attachedTemplate r:id="rId1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link w:val="a3"/>
    <w:uiPriority w:val="99"/>
    <w:semiHidden/>
    <w:rPr>
      <w:rFonts w:ascii="Segoe UI" w:eastAsia="Calibri" w:hAnsi="Segoe UI" w:cs="Segoe UI"/>
      <w:sz w:val="18"/>
      <w:szCs w:val="18"/>
    </w:rPr>
  </w:style>
  <w:style w:type="paragraph" w:styleId="a5">
    <w:name w:val="header"/>
    <w:basedOn w:val="a"/>
    <w:link w:val="a6"/>
    <w:uiPriority w:val="99"/>
    <w:unhideWhenUsed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Pr>
      <w:sz w:val="22"/>
      <w:szCs w:val="22"/>
      <w:lang w:eastAsia="en-US"/>
    </w:rPr>
  </w:style>
  <w:style w:type="paragraph" w:styleId="a7">
    <w:name w:val="footer"/>
    <w:basedOn w:val="a"/>
    <w:link w:val="a8"/>
    <w:uiPriority w:val="99"/>
    <w:unhideWhenUsed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Pr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link w:val="a3"/>
    <w:uiPriority w:val="99"/>
    <w:semiHidden/>
    <w:rPr>
      <w:rFonts w:ascii="Segoe UI" w:eastAsia="Calibri" w:hAnsi="Segoe UI" w:cs="Segoe UI"/>
      <w:sz w:val="18"/>
      <w:szCs w:val="18"/>
    </w:rPr>
  </w:style>
  <w:style w:type="paragraph" w:styleId="a5">
    <w:name w:val="header"/>
    <w:basedOn w:val="a"/>
    <w:link w:val="a6"/>
    <w:uiPriority w:val="99"/>
    <w:unhideWhenUsed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Pr>
      <w:sz w:val="22"/>
      <w:szCs w:val="22"/>
      <w:lang w:eastAsia="en-US"/>
    </w:rPr>
  </w:style>
  <w:style w:type="paragraph" w:styleId="a7">
    <w:name w:val="footer"/>
    <w:basedOn w:val="a"/>
    <w:link w:val="a8"/>
    <w:uiPriority w:val="99"/>
    <w:unhideWhenUsed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205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5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0000-0~2\AppData\Local\Temp\rad7058DBlankToImport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68AB823-2873-4ACC-B25A-E5A1A6E8A7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rad7058DBlankToImport.dot</Template>
  <TotalTime>11</TotalTime>
  <Pages>1</Pages>
  <Words>306</Words>
  <Characters>1750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Вараксина Юлия Викторовна</dc:creator>
  <cp:lastModifiedBy>Боровская</cp:lastModifiedBy>
  <cp:revision>4</cp:revision>
  <cp:lastPrinted>2025-04-08T00:12:00Z</cp:lastPrinted>
  <dcterms:created xsi:type="dcterms:W3CDTF">2025-04-07T06:00:00Z</dcterms:created>
  <dcterms:modified xsi:type="dcterms:W3CDTF">2025-04-08T00:23:00Z</dcterms:modified>
</cp:coreProperties>
</file>