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8"/>
          <w:szCs w:val="3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8"/>
          <w:szCs w:val="38"/>
        </w:rPr>
        <w:t>СОБРАНИЕ ПРЕДСТАВИТЕЛЕЙ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ЯГОДНИНСКОГО МУНИЦИПАЛЬНОГО ОКРУГА МАГАДАНСКОЙ ОБЛАСТИ</w:t>
      </w:r>
    </w:p>
    <w:p>
      <w:pPr>
        <w:suppressAutoHyphens/>
        <w:spacing w:before="160" w:after="16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>
      <w:pPr>
        <w:suppressAutoHyphens/>
        <w:spacing w:before="160" w:after="16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РЕШЕНИЕ</w:t>
      </w:r>
    </w:p>
    <w:p>
      <w:pPr>
        <w:ind w:right="4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«06» ноября 2024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№ 374</w:t>
      </w:r>
    </w:p>
    <w:p>
      <w:pPr>
        <w:spacing w:before="240"/>
        <w:ind w:right="4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Ягодное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введении в действие на территории муниципального образования «Ягоднинский муниципальный округ Магаданской области»</w:t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туристического налога</w:t>
      </w:r>
    </w:p>
    <w:p>
      <w:pPr>
        <w:pStyle w:val="ConsPlusTitle"/>
        <w:jc w:val="center"/>
        <w:rPr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июля 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«Ягоднинский муниципальный округ Магаданской области», Собрание представителей Ягоднинского муниципального округа Магаданской области</w:t>
      </w:r>
    </w:p>
    <w:p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14"/>
          <w:szCs w:val="14"/>
        </w:rPr>
      </w:pP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2025 года на территории муниципального образования «Ягоднинский муниципальный округ Магаданской области» туристический налог, установленный главой 33.1 части второй Налогового кодекса Российской Федерации.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Туристический налог обязателен к уплате на территории муниципального образования «Ягоднинский муниципальный округ Магаданской области» организациями и физическими лицами, признаваемыми налогоплательщиками в соответствии со статьей 418.2 Налогового кодекса Российской Федерации.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Установить налоговые ставки от налогооблагаемой базы, исчисленной в соответствии со статьей 418.4 Налогового кодекса Российской Федерации, в следующих размерах: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2025 году - 1 процент;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- 2 процента;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 году - 3 процента;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2028 году - 4 процента;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2029 году и последующие годы - 5 процентов. 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налоговую базу не включается стоимость услуги по временному проживанию, оказываемой наряду с категориями физических лиц, установленных пунктом 2 статьи 418.4 Налогового кодекса Российской Федерации (при условии предоставления налогоплательщику документов, подтверждающих соответствующий статус физического лица), следующим категориям физических лиц: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Граждане, имеющие трех и более несовершеннолетних детей;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Граждане, имеющие детей-инвалидов.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 уплаты туристического налога освобождаются: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Ветераны Великой Отечественной войны;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Инвалиды Великой Отечественной войны, а также инвалиды боевых действий;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Инвалиды с детства;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Инвалиды 1 группы;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Дети-сироты, воспитывающиеся в детских учреждениях для детей-сирот;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Граждане, призванные в соответствии с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на военную службу по мобилизации в Вооруженные Силы Российской Федерации и зачисленные в списки личного состава воинских частей;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Граждане, заключившие не ранее 24 февраля 2022 года контракт (контракты) об участии в специальной военной операции общей продолжительностью не менее 6 месяцев и направленные военным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комиссариатом для участия в специальной военной операции, участвующие (участвовавшие) в специальной военной операции;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Граждане, заключившие не ранее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участвующие (участвовавшие) в специальной военной операции;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Супруга (супруг) участника специальной военной операции, относящегося к одной из категорий, указанных в </w:t>
      </w:r>
      <w:hyperlink w:anchor="Par8" w:history="1">
        <w:r>
          <w:rPr>
            <w:rFonts w:ascii="Times New Roman" w:hAnsi="Times New Roman" w:cs="Times New Roman"/>
            <w:sz w:val="28"/>
            <w:szCs w:val="28"/>
          </w:rPr>
          <w:t>подпунктах 5.6 - 5.8 пункта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5 настоящего решения, состоящая (состоящий) с ним в браке, заключенном в органах записи актов гражданского состояния. 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>Иные положения, относящиеся к туристическому налогу, определяются в соответствии с главой 33.1 «Туристический налог» Налогового кодекса Российской Федерации.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Настоящее решение подлежит официальному опубликованию.</w:t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Ягоднинского муниципального округа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Магаданской области                                                                         Н.Б. Олейник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457" w:type="dxa"/>
        <w:tblInd w:w="108" w:type="dxa"/>
        <w:tblLook w:val="0000" w:firstRow="0" w:lastRow="0" w:firstColumn="0" w:lastColumn="0" w:noHBand="0" w:noVBand="0"/>
      </w:tblPr>
      <w:tblGrid>
        <w:gridCol w:w="10206"/>
        <w:gridCol w:w="3251"/>
      </w:tblGrid>
      <w:t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Собрания представителей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Ягоднинского муниципального  округа                                        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Магаданской области                                                                        О.Г. Гаврилова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5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5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hyperlink" Target="https://login.consultant.ru/link/?req=doc&amp;base=LAW&amp;n=454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INTERNET</cp:lastModifiedBy>
  <cp:revision>2</cp:revision>
  <cp:lastPrinted>2024-10-24T04:17:00Z</cp:lastPrinted>
  <dcterms:created xsi:type="dcterms:W3CDTF">2024-12-02T04:00:00Z</dcterms:created>
  <dcterms:modified xsi:type="dcterms:W3CDTF">2024-12-02T04:00:00Z</dcterms:modified>
</cp:coreProperties>
</file>