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СОБРАНИЕ ПРЕДСТАВИТЕЛЕЙ ЯГОДНИНСКОГО МУНИЦИПАЛЬНОГО ОКРУГА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 января 2023 г. N 246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НАЛОГЕ НА ИМУЩЕСТВО ФИЗИЧЕСКИХ ЛИЦ НА ТЕРРИТОРИИ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"ЯГОДНИНСКИЙ МУНИЦИПАЛЬНЫЙ ОКРУГ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ОБЛАСТИ"</w:t>
      </w:r>
    </w:p>
    <w:p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(в ред. Решений Собрания представителей</w:t>
      </w:r>
      <w:proofErr w:type="gramEnd"/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24.05.2023 N 279, от 29.02.2024 N 335, от 06.11.2024 N 372)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целях приведения нормативных актов органов местного самоуправления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Магаданской области" в соответствие с нормами законодательства о налогах и сборах, руководствуясь </w:t>
      </w:r>
      <w:hyperlink r:id="rId5">
        <w:r>
          <w:rPr>
            <w:rFonts w:ascii="Times New Roman" w:hAnsi="Times New Roman" w:cs="Times New Roman"/>
            <w:sz w:val="24"/>
            <w:szCs w:val="24"/>
          </w:rPr>
          <w:t>главой 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Федеральным </w:t>
      </w:r>
      <w:hyperlink r:id="rId6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06.10.2003 N 131 "Об общих принципах организации местного самоуправления в Российской Федерации", </w:t>
      </w:r>
      <w:hyperlink r:id="rId7">
        <w:r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Магаданской области", Собрание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области решило: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Ввести в действие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Магаданской области" налог на имущество физических лиц.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Установить следующие налоговые ставки, для определения налоговой базы исходя из кадастровой стоимости объектов налогообложения.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0,1 процента в отношении: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жилых домов, частей жилых домов, квартир, частей квартир, комнат;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единых недвижимых комплексов, в состав которых входит хотя бы один жилой дом;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гаражей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>-мест, в том числе расположенных в объектах налогообложения, указанных в подпункте 2 настоящего пункта;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2 процента в отношении: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объектов налогообложения, включенных в перечень, определяемый в соответствии с </w:t>
      </w:r>
      <w:hyperlink r:id="rId8">
        <w:r>
          <w:rPr>
            <w:rFonts w:ascii="Times New Roman" w:hAnsi="Times New Roman" w:cs="Times New Roman"/>
            <w:sz w:val="24"/>
            <w:szCs w:val="24"/>
          </w:rPr>
          <w:t>пунктом 7 статьи 378.2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в отношении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объектов налогообложения, предусмотренных </w:t>
      </w:r>
      <w:hyperlink r:id="rId9">
        <w:r>
          <w:rPr>
            <w:rFonts w:ascii="Times New Roman" w:hAnsi="Times New Roman" w:cs="Times New Roman"/>
            <w:sz w:val="24"/>
            <w:szCs w:val="24"/>
          </w:rPr>
          <w:t>абзацем вторым пункта 10 статьи 378.2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06.11.2024 N 372)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2.1) 2,5 процента в отношении объектов налогообложения, кадастровая стоимость каждого из которых превышает 300 миллионов рублей;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2.1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>
        <w:r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06.11.2024 N 372)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0,5 процента в отношении прочих объектов налогообложения.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соответствии со </w:t>
      </w:r>
      <w:hyperlink r:id="rId12">
        <w:r>
          <w:rPr>
            <w:rFonts w:ascii="Times New Roman" w:hAnsi="Times New Roman" w:cs="Times New Roman"/>
            <w:sz w:val="24"/>
            <w:szCs w:val="24"/>
          </w:rPr>
          <w:t>статьей 399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установить налоговую льготу дополнительным категориям налогоплательщиков с учетом положений </w:t>
      </w:r>
      <w:hyperlink r:id="rId13">
        <w:r>
          <w:rPr>
            <w:rFonts w:ascii="Times New Roman" w:hAnsi="Times New Roman" w:cs="Times New Roman"/>
            <w:sz w:val="24"/>
            <w:szCs w:val="24"/>
          </w:rPr>
          <w:t>статьи 407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для граждан, имеющих троих и более несовершеннолетних детей;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для граждан, имеющих детей-инвалидов;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для участников специальной военной операции, относящихся к одной из следующих категорий: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граждане, призванные в соответствии с </w:t>
      </w:r>
      <w:hyperlink r:id="rId14">
        <w:r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21 сентября 2022 года N 647 "Об объявлении частичной мобилизации в Российской Федерации" на военную службу по мобилизации в Вооруженные Силы Российской Федерации и зачисленные в списки личного состава воинских частей;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граждане, заключившие не ранее 24 февраля 2022 года контракт (контракты) об участии в специальной военной операции общей продолжительностью не менее 6 месяцев и направленные военным комиссариатом для участия в специальной военной операции, участвующие (участвовавшие) в специальной военной операции;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граждане, заключившие не ранее 24 февраля 2022 года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участвующие (участвовавшие) в специальной военной операции;</w:t>
      </w:r>
    </w:p>
    <w:p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для членов семей участников специальной военной операции, относящихся к одной из указанных в подпункте 3 пункта 3 настоящего решения: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супруга (супруг) участника специальной военной операции, состоящая (состоящий) с ним в браке, заключенном в органах записи актов гражданского состояния;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дети участника специальной военной операции, не достигшие возраста 18 лет или старше этого возраста, если они стали инвалидами до достижения ими возраста 18 лет, а также дети участника специальной военной операции, обучающиеся в образовательных организациях по очной форме обучения, до окончания обучения, но не дольше чем до достижения ими возраста 23 лет.</w:t>
      </w:r>
      <w:proofErr w:type="gramEnd"/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3 в ред. </w:t>
      </w:r>
      <w:hyperlink r:id="rId15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29.02.2024 N 335)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Основания и порядок применения налогоплательщиками, указанными в пункте 3 настоящего решения налоговых льгот, устанавливаются в соответствии со </w:t>
      </w:r>
      <w:hyperlink r:id="rId16">
        <w:r>
          <w:rPr>
            <w:rFonts w:ascii="Times New Roman" w:hAnsi="Times New Roman" w:cs="Times New Roman"/>
            <w:sz w:val="24"/>
            <w:szCs w:val="24"/>
          </w:rPr>
          <w:t>статьей 407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4 введен </w:t>
      </w:r>
      <w:hyperlink r:id="rId17">
        <w:r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24.05.2023 N 279)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8">
        <w:r>
          <w:rPr>
            <w:rFonts w:ascii="Times New Roman" w:hAnsi="Times New Roman" w:cs="Times New Roman"/>
            <w:sz w:val="24"/>
            <w:szCs w:val="24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С момента вступления в силу настоящего решения признать утратившим силу </w:t>
      </w:r>
      <w:hyperlink r:id="rId19">
        <w:r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14 апреля 2021 года N 39 "О налоге на имущество физических лиц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Ягоднинский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0">
        <w:r>
          <w:rPr>
            <w:rFonts w:ascii="Times New Roman" w:hAnsi="Times New Roman" w:cs="Times New Roman"/>
            <w:sz w:val="24"/>
            <w:szCs w:val="24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>. Настоящее решение вступает в силу с 1 января 2024 года, но не ранее чем по истечении одного месяца со дня его официального опубликования в средствах массовой информации.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1">
        <w:r>
          <w:rPr>
            <w:rFonts w:ascii="Times New Roman" w:hAnsi="Times New Roman" w:cs="Times New Roman"/>
            <w:sz w:val="24"/>
            <w:szCs w:val="24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>. Настоящее решение подлежит официальному опубликованию.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главы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Е.В.СТУПАК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Собрания представителей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Ягоднинского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О.Г.ГАВРИЛОВА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6417&amp;dst=9219" TargetMode="External"/><Relationship Id="rId13" Type="http://schemas.openxmlformats.org/officeDocument/2006/relationships/hyperlink" Target="https://login.consultant.ru/link/?req=doc&amp;base=LAW&amp;n=526417&amp;dst=10385" TargetMode="External"/><Relationship Id="rId18" Type="http://schemas.openxmlformats.org/officeDocument/2006/relationships/hyperlink" Target="https://login.consultant.ru/link/?req=doc&amp;base=RLAW439&amp;n=114491&amp;dst=1000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439&amp;n=114491&amp;dst=100008" TargetMode="External"/><Relationship Id="rId7" Type="http://schemas.openxmlformats.org/officeDocument/2006/relationships/hyperlink" Target="https://login.consultant.ru/link/?req=doc&amp;base=RLAW439&amp;n=129058&amp;dst=100116" TargetMode="External"/><Relationship Id="rId12" Type="http://schemas.openxmlformats.org/officeDocument/2006/relationships/hyperlink" Target="https://login.consultant.ru/link/?req=doc&amp;base=LAW&amp;n=526417&amp;dst=10317" TargetMode="External"/><Relationship Id="rId17" Type="http://schemas.openxmlformats.org/officeDocument/2006/relationships/hyperlink" Target="https://login.consultant.ru/link/?req=doc&amp;base=RLAW439&amp;n=114491&amp;dst=1000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6417&amp;dst=10385" TargetMode="External"/><Relationship Id="rId20" Type="http://schemas.openxmlformats.org/officeDocument/2006/relationships/hyperlink" Target="https://login.consultant.ru/link/?req=doc&amp;base=RLAW439&amp;n=114491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&amp;dst=101359" TargetMode="External"/><Relationship Id="rId11" Type="http://schemas.openxmlformats.org/officeDocument/2006/relationships/hyperlink" Target="https://login.consultant.ru/link/?req=doc&amp;base=RLAW439&amp;n=123648&amp;dst=100007" TargetMode="External"/><Relationship Id="rId5" Type="http://schemas.openxmlformats.org/officeDocument/2006/relationships/hyperlink" Target="https://login.consultant.ru/link/?req=doc&amp;base=LAW&amp;n=526417&amp;dst=10318" TargetMode="External"/><Relationship Id="rId15" Type="http://schemas.openxmlformats.org/officeDocument/2006/relationships/hyperlink" Target="https://login.consultant.ru/link/?req=doc&amp;base=RLAW439&amp;n=119796&amp;dst=10000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39&amp;n=123648&amp;dst=100006" TargetMode="External"/><Relationship Id="rId19" Type="http://schemas.openxmlformats.org/officeDocument/2006/relationships/hyperlink" Target="https://login.consultant.ru/link/?req=doc&amp;base=RLAW439&amp;n=1001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6417&amp;dst=13986" TargetMode="External"/><Relationship Id="rId14" Type="http://schemas.openxmlformats.org/officeDocument/2006/relationships/hyperlink" Target="https://login.consultant.ru/link/?req=doc&amp;base=LAW&amp;n=42699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1</cp:revision>
  <dcterms:created xsi:type="dcterms:W3CDTF">2026-04-27T00:47:00Z</dcterms:created>
  <dcterms:modified xsi:type="dcterms:W3CDTF">2026-04-27T00:51:00Z</dcterms:modified>
</cp:coreProperties>
</file>