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6764"/>
          <w:tab w:val="left" w:pos="7088"/>
          <w:tab w:val="right" w:pos="9355"/>
          <w:tab w:val="left" w:pos="11766"/>
        </w:tabs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Приложение </w:t>
      </w:r>
    </w:p>
    <w:p>
      <w:pPr>
        <w:tabs>
          <w:tab w:val="left" w:pos="6764"/>
          <w:tab w:val="left" w:pos="7088"/>
          <w:tab w:val="right" w:pos="9355"/>
        </w:tabs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>
      <w:pPr>
        <w:tabs>
          <w:tab w:val="left" w:pos="6764"/>
          <w:tab w:val="left" w:pos="7088"/>
          <w:tab w:val="right" w:pos="9355"/>
        </w:tabs>
        <w:spacing w:line="240" w:lineRule="auto"/>
        <w:ind w:left="1176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</w:t>
      </w:r>
    </w:p>
    <w:p>
      <w:pPr>
        <w:tabs>
          <w:tab w:val="left" w:pos="6764"/>
          <w:tab w:val="left" w:pos="7088"/>
          <w:tab w:val="right" w:pos="9355"/>
        </w:tabs>
        <w:spacing w:line="240" w:lineRule="auto"/>
        <w:ind w:left="1176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приказом УФНС России</w:t>
      </w:r>
    </w:p>
    <w:p>
      <w:pPr>
        <w:tabs>
          <w:tab w:val="left" w:pos="6764"/>
          <w:tab w:val="left" w:pos="7088"/>
          <w:tab w:val="right" w:pos="9355"/>
        </w:tabs>
        <w:spacing w:line="240" w:lineRule="auto"/>
        <w:ind w:left="1176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Магаданской области</w:t>
      </w:r>
    </w:p>
    <w:p>
      <w:pPr>
        <w:tabs>
          <w:tab w:val="left" w:pos="6764"/>
          <w:tab w:val="left" w:pos="7088"/>
          <w:tab w:val="right" w:pos="9355"/>
        </w:tabs>
        <w:spacing w:line="240" w:lineRule="auto"/>
        <w:ind w:left="1176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 </w:t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  <w:t>07.04.2023</w:t>
      </w:r>
      <w:r>
        <w:rPr>
          <w:rFonts w:ascii="Times New Roman" w:hAnsi="Times New Roman"/>
          <w:sz w:val="20"/>
          <w:szCs w:val="20"/>
        </w:rPr>
        <w:t xml:space="preserve">  №  </w:t>
      </w:r>
      <w:r>
        <w:rPr>
          <w:rFonts w:ascii="Times New Roman" w:hAnsi="Times New Roman"/>
          <w:sz w:val="20"/>
          <w:szCs w:val="20"/>
          <w:u w:val="single"/>
        </w:rPr>
        <w:t>01-01/45</w:t>
      </w:r>
    </w:p>
    <w:p>
      <w:pPr>
        <w:tabs>
          <w:tab w:val="left" w:pos="6764"/>
          <w:tab w:val="left" w:pos="7088"/>
          <w:tab w:val="right" w:pos="9355"/>
        </w:tabs>
        <w:spacing w:line="240" w:lineRule="auto"/>
        <w:ind w:left="1119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Ведомственный план УФНС России по Магаданской области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реализации Концепции открытости федеральных органов исполнительной власти на 2023 год 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Внутриведомственные организационные мероприятия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153"/>
        <w:gridCol w:w="2379"/>
        <w:gridCol w:w="3453"/>
      </w:tblGrid>
      <w:tr>
        <w:trPr>
          <w:trHeight w:val="547"/>
          <w:tblHeader/>
        </w:trPr>
        <w:tc>
          <w:tcPr>
            <w:tcW w:w="8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>
        <w:tc>
          <w:tcPr>
            <w:tcW w:w="8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(по мере необходимости) специализированного обучения (тренинга) сотрудников УФНС России по Магаданской области (далее – Управление) в области открытых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Развитие ключевых механизмов открытости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8105"/>
        <w:gridCol w:w="2389"/>
        <w:gridCol w:w="3483"/>
      </w:tblGrid>
      <w:tr>
        <w:trPr>
          <w:tblHeader/>
        </w:trPr>
        <w:tc>
          <w:tcPr>
            <w:tcW w:w="8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>
        <w:tc>
          <w:tcPr>
            <w:tcW w:w="8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Механизм: Реализация принципа информационной открытости в Управлении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Размещение в региональном разделе на официальном сайте ФНС России и актуализация информации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 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постоянной основе)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услуг, структурные подразделения Управления</w:t>
            </w:r>
          </w:p>
        </w:tc>
      </w:tr>
      <w:tr>
        <w:trPr>
          <w:trHeight w:val="1122"/>
        </w:trP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Поддержание в актуальном состоянии регионального раздела на официальном сайте ФНС России специального раздела с информацией о проводимых мероприятиях в области открытости Управления   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Ежеквартально,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 14 дней до проведения мероприятия </w:t>
            </w:r>
          </w:p>
        </w:tc>
        <w:tc>
          <w:tcPr>
            <w:tcW w:w="348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Отдел оказания государственных услуг, структурные подразделения Управления</w:t>
            </w: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Разработка и размещение в региональном разделе официального сайта ФНС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России информационно-просветительских материалов для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налогоплательщиков по наиболее актуальным вопросам налогового администрирования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В течение 3 дней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 момента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утверждения информационного материала 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оказания государственных услуг,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структурные подразделения Управления</w:t>
            </w:r>
          </w:p>
        </w:tc>
      </w:tr>
      <w:tr>
        <w:trPr>
          <w:trHeight w:val="327"/>
        </w:trPr>
        <w:tc>
          <w:tcPr>
            <w:tcW w:w="8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Механизм: Обеспечение работы с открытыми данными в Управлении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Поддержание в актуальном состоянии в региональном разделе сайта ФНС России реестров с открытыми данными (наполнение существующих региональных сервисов, загрузка региональных данных в федеральные электронные сервисы)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2023 год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(на постоянной основе)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услуг, структурные подразделения Управления</w:t>
            </w:r>
          </w:p>
        </w:tc>
      </w:tr>
      <w:tr>
        <w:tc>
          <w:tcPr>
            <w:tcW w:w="8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810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Механизм: Обеспечение понятности нормативно-правового регулирования, государственной политики и программ, разрабатываемых (реализуемых) в Управлении</w:t>
            </w:r>
          </w:p>
        </w:tc>
        <w:tc>
          <w:tcPr>
            <w:tcW w:w="2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интернет-сервиса «Наиболее часто задаваемые вопросы» в региональном разделе сайта ФНС России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3 дней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даты подготовки  информации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услуг, структурные подразделения Управления</w:t>
            </w: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Наполнение и актуализация информационного ресурса «Справочная информация о ставках и льготах по имущественным налогам» сведениями о сроках уплаты, принятых органами власти субъектов Российской Федерации и органами местного самоуправления нормативных правовых актах по установлению налоговых ставок и налоговых льгот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2023 год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камерального контроля в сфере налогообложения имущества,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052"/>
        </w:trP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Разработка и размещение в региональном разделе сайта ФНС России графиков проведения семинаров с налогоплательщиками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Ежеквартально,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 14 дней до начала квартала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(в случае утверждения графика)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Механизм: Принятие планов деятельности ФНС России и ежегодной Публичной декларации целей и задач ФНС России, их общественное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обсуждение и экспертное сопровождение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Реализация Публичной декларации целей и задач ФНС России на 2023 год</w:t>
            </w:r>
          </w:p>
        </w:tc>
        <w:tc>
          <w:tcPr>
            <w:tcW w:w="238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2023 года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</w:tr>
      <w:tr>
        <w:tc>
          <w:tcPr>
            <w:tcW w:w="8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810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 Формирование публичной отчетности Управления</w:t>
            </w:r>
          </w:p>
        </w:tc>
        <w:tc>
          <w:tcPr>
            <w:tcW w:w="2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1200"/>
        </w:trP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Размещение в региональном разделе официального сайта ФНС России основных показателей деятельности Управления по формам статистической отчетности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сроками, установленными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Управления,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оказания государственных услуг </w:t>
            </w: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 региональном разделе официального сайта ФНС России статистической информации об осуществлении закупок для государственных нужд Управления и территориальных органов Магаданской области 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3 дней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момента подготовки информации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Финансовый отдел, 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оказания государственных услуг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0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Информирование о работе Управления с обращениями граждан и организаций</w:t>
            </w:r>
          </w:p>
        </w:tc>
        <w:tc>
          <w:tcPr>
            <w:tcW w:w="2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размещение в региональном разделе официального сайта ФНС России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3 дней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момента подготовки информации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Общий отдел,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размещение в региональном разделе официального сайта ФНС России справки о работе Управления  с обращениями граждан и запросами пользователей информации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ежеквартально,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 дней с момента подготовки информации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>
        <w:tc>
          <w:tcPr>
            <w:tcW w:w="8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0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Организация работы с референтными группами Управления</w:t>
            </w:r>
          </w:p>
        </w:tc>
        <w:tc>
          <w:tcPr>
            <w:tcW w:w="2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Проведение информационных кампаний, направленных на побуждение</w:t>
            </w:r>
          </w:p>
          <w:p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налогоплательщиков/ плательщиков страховых взносов к исполнению</w:t>
            </w:r>
          </w:p>
          <w:p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обязанности по уплате налогов, сборов и страховых взносов либо на разъяснение права на налоговые льготы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2023 года согласно поручениям ФНС России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Структурные подразделения Управления,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>
        <w:trPr>
          <w:trHeight w:val="1276"/>
        </w:trP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Участие в совместных совещаниях с представителями органов власти Магаданской области и органов местного самоуправления по вопросам, входящим в компетенцию Управления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2023 года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структурные подразделения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</w:tr>
      <w:tr>
        <w:trPr>
          <w:trHeight w:val="570"/>
        </w:trP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VIII.</w:t>
            </w:r>
          </w:p>
        </w:tc>
        <w:tc>
          <w:tcPr>
            <w:tcW w:w="8105" w:type="dxa"/>
            <w:shd w:val="clear" w:color="auto" w:fill="auto"/>
          </w:tcPr>
          <w:p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Взаимодействие Управления с Общественным советом при </w:t>
            </w:r>
          </w:p>
          <w:p>
            <w:pPr>
              <w:pStyle w:val="ListParagraph"/>
              <w:spacing w:after="24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Управлении</w:t>
            </w:r>
          </w:p>
        </w:tc>
        <w:tc>
          <w:tcPr>
            <w:tcW w:w="2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регионального раздела официального </w:t>
            </w:r>
            <w:r>
              <w:rPr>
                <w:rStyle w:val="2"/>
                <w:color w:val="auto"/>
                <w:sz w:val="24"/>
                <w:szCs w:val="24"/>
              </w:rPr>
              <w:t xml:space="preserve">сайта ФНС России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 при Управлении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3 дней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момента внесения изменений в персональный состав Общественного совета при Управлении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в региональном разделе официального сайта ФНС России в актуальной редакции Положения об Общественном совете при Управлении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3 дней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момента внесения изменений в Положение об Общественном совете при Управлении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в региональном разделе официального сайта ФНС России плана работы Общественного совета при Управлении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3 дней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момента утверждения плана работы Общественного совета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>
        <w:trPr>
          <w:trHeight w:val="484"/>
        </w:trP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Участие представителей Общественного совета при Управлении в работе аттестационных комиссий, конкурсных комиссий на замещение вакантной должности государственной гражданской службы Российской Федерации, в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комиссиях по соблюдению требований к служебному поведению федеральных государственных гражданских служащих и урегулированию конфликта интересов 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 постоянной основе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кадров </w:t>
            </w: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105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региональном разделе официального сайта ФНС России, а также в СМИ материалов, информирующих о деятельности Общественного совета при Управлении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>
        <w:trPr>
          <w:trHeight w:val="275"/>
        </w:trP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IX.</w:t>
            </w:r>
          </w:p>
        </w:tc>
        <w:tc>
          <w:tcPr>
            <w:tcW w:w="8105" w:type="dxa"/>
            <w:shd w:val="clear" w:color="auto" w:fill="auto"/>
            <w:vAlign w:val="bottom"/>
          </w:tcPr>
          <w:p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 Работа пресс-службы Управления</w:t>
            </w:r>
          </w:p>
        </w:tc>
        <w:tc>
          <w:tcPr>
            <w:tcW w:w="2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контактной информации о пресс-службе </w:t>
            </w:r>
            <w:r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региональном разделе на официальном сайте ФНС России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3 дней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момента изменения информации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pStyle w:val="ListParagraph"/>
              <w:spacing w:after="24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печатных и электронных СМИ интервью представителей 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изменений в налоговом администрировании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3 дней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момента подготовки информации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>
        <w:trPr>
          <w:trHeight w:val="1336"/>
        </w:trP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региональной информации в разделе «Новости» официального сайта ФНС России, в котором публикуются интервью с руководством Управления, новости, пресс-релизы о деятельности Управления, видеозаписи официальных мероприятий с участием Управления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услуг, Структурные подразделения Управления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rHeight w:val="602"/>
        </w:trP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X.</w:t>
            </w:r>
          </w:p>
        </w:tc>
        <w:tc>
          <w:tcPr>
            <w:tcW w:w="8105" w:type="dxa"/>
            <w:shd w:val="clear" w:color="auto" w:fill="auto"/>
          </w:tcPr>
          <w:p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 Независимая антикоррупционная экспертиза и общественный мониторинг правоприменения</w:t>
            </w:r>
          </w:p>
        </w:tc>
        <w:tc>
          <w:tcPr>
            <w:tcW w:w="2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pStyle w:val="ListParagraph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Style w:val="2"/>
                <w:color w:val="auto"/>
                <w:sz w:val="24"/>
                <w:szCs w:val="24"/>
              </w:rPr>
              <w:t xml:space="preserve">Актуализация нормативно-правовых документов в сфере противодействия коррупции, размещаемых в региональном разделе официального сайта ФНС России 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>
              <w:rPr>
                <w:rStyle w:val="2"/>
                <w:color w:val="auto"/>
                <w:sz w:val="24"/>
                <w:szCs w:val="24"/>
              </w:rPr>
              <w:t>В течение 3 дней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color w:val="auto"/>
                <w:sz w:val="24"/>
                <w:szCs w:val="24"/>
              </w:rPr>
              <w:t xml:space="preserve"> с момента внесения соответствующих изменений 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кадров, 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>
        <w:tc>
          <w:tcPr>
            <w:tcW w:w="8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"/>
                <w:color w:val="auto"/>
                <w:sz w:val="24"/>
                <w:szCs w:val="24"/>
              </w:rPr>
              <w:t>Организация работы по соблюдению этических норм и правил, установленных Кодексом этики и служебного поведения государственных гражданских служащих Управления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48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кадров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3. Инициативные проекты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152"/>
        <w:gridCol w:w="2339"/>
        <w:gridCol w:w="3494"/>
      </w:tblGrid>
      <w:tr>
        <w:tc>
          <w:tcPr>
            <w:tcW w:w="8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58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>
        <w:tc>
          <w:tcPr>
            <w:tcW w:w="817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обучающих семинаров для вновь зарегистрированных предпринимателей и юридических лиц  по вопросам исполнения требований налогового законодательства.</w:t>
            </w: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2023 года не реже 2 раз в месяц </w:t>
            </w:r>
          </w:p>
        </w:tc>
        <w:tc>
          <w:tcPr>
            <w:tcW w:w="3587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оказания государственных услуг, Структурные подразделения Управления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817" w:type="dxa"/>
            <w:vMerge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побуждение налогоплательщиков к неукоснительному и грамотному исполнению обязанностей, предусмотренных ст. 78 Конституции РФ, своевременной уплате налогов, формирование налоговой грамотности и  культуры населения и повышение эффективности использования электронных сервисов ФНС России (распространение печатных информационных материалов).</w:t>
            </w: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817" w:type="dxa"/>
            <w:vMerge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укрепление положительного имиджа налоговых органов Российской Федерации;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разъяснение практики налогового администрирования;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минимизация негативных отзывов о деятельности налоговых органов;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повышение налоговой грамотности.</w:t>
            </w: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1701" w:right="1134" w:bottom="567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spacing w:after="0" w:line="240" w:lineRule="auto"/>
      <w:rPr>
        <w:rFonts w:ascii="Times New Roman" w:hAnsi="Times New Roman"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d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fldChar w:fldCharType="end"/>
    </w:r>
  </w:p>
  <w:p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3516086"/>
    <w:multiLevelType w:val="hybridMultilevel"/>
    <w:tmpl w:val="859C1984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>
    <w:nsid w:val="65763B67"/>
    <w:multiLevelType w:val="hybridMultilevel"/>
    <w:tmpl w:val="42C4EC3A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6"/>
  </w:num>
  <w:num w:numId="5">
    <w:abstractNumId w:val="14"/>
  </w:num>
  <w:num w:numId="6">
    <w:abstractNumId w:val="28"/>
  </w:num>
  <w:num w:numId="7">
    <w:abstractNumId w:val="3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31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3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20"/>
  </w:num>
  <w:num w:numId="26">
    <w:abstractNumId w:val="18"/>
  </w:num>
  <w:num w:numId="27">
    <w:abstractNumId w:val="0"/>
  </w:num>
  <w:num w:numId="28">
    <w:abstractNumId w:val="10"/>
  </w:num>
  <w:num w:numId="29">
    <w:abstractNumId w:val="25"/>
  </w:num>
  <w:num w:numId="30">
    <w:abstractNumId w:val="29"/>
  </w:num>
  <w:num w:numId="31">
    <w:abstractNumId w:val="1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Pr>
      <w:rFonts w:ascii="Segoe UI" w:hAnsi="Segoe UI" w:cs="Segoe UI"/>
      <w:sz w:val="18"/>
      <w:szCs w:val="1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customStyle="1" w:styleId="H1">
    <w:name w:val="H1"/>
    <w:basedOn w:val="a"/>
    <w:next w:val="a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Pr>
      <w:sz w:val="19"/>
      <w:szCs w:val="19"/>
      <w:lang w:bidi="ar-SA"/>
    </w:rPr>
  </w:style>
  <w:style w:type="paragraph" w:styleId="aa">
    <w:name w:val="Body Text"/>
    <w:basedOn w:val="a"/>
    <w:link w:val="a9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19"/>
      <w:lang w:val="x-none" w:eastAsia="x-none"/>
    </w:rPr>
  </w:style>
  <w:style w:type="character" w:customStyle="1" w:styleId="ab">
    <w:name w:val="Основной текст + Курсив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note text"/>
    <w:basedOn w:val="a"/>
    <w:semiHidden/>
    <w:rPr>
      <w:sz w:val="20"/>
      <w:szCs w:val="20"/>
    </w:rPr>
  </w:style>
  <w:style w:type="character" w:styleId="af0">
    <w:name w:val="footnote reference"/>
    <w:semiHidden/>
    <w:rPr>
      <w:vertAlign w:val="superscript"/>
    </w:rPr>
  </w:style>
  <w:style w:type="paragraph" w:customStyle="1" w:styleId="ListParagraph1">
    <w:name w:val="List Paragraph1"/>
    <w:basedOn w:val="a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Pr>
      <w:rFonts w:eastAsia="Times New Roman"/>
      <w:sz w:val="22"/>
      <w:szCs w:val="22"/>
      <w:lang w:eastAsia="en-US"/>
    </w:rPr>
  </w:style>
  <w:style w:type="paragraph" w:customStyle="1" w:styleId="af1">
    <w:name w:val=" Знак Знак Знак Знак Знак Знак Знак Знак Знак Знак Знак Знак Знак Знак Знак Знак"/>
    <w:basedOn w:val="a"/>
    <w:autoRedefine/>
    <w:pPr>
      <w:spacing w:line="240" w:lineRule="exact"/>
    </w:pPr>
    <w:rPr>
      <w:rFonts w:ascii="Times New Roman" w:hAnsi="Times New Roman"/>
      <w:sz w:val="28"/>
      <w:szCs w:val="20"/>
      <w:lang w:val="en-US"/>
    </w:rPr>
  </w:style>
  <w:style w:type="paragraph" w:customStyle="1" w:styleId="10">
    <w:name w:val="Абзац списка1"/>
    <w:basedOn w:val="a"/>
    <w:qFormat/>
    <w:pPr>
      <w:ind w:left="720"/>
      <w:contextualSpacing/>
    </w:pPr>
  </w:style>
  <w:style w:type="character" w:styleId="af2">
    <w:name w:val="Strong"/>
    <w:uiPriority w:val="22"/>
    <w:qFormat/>
    <w:locked/>
    <w:rPr>
      <w:b/>
      <w:bCs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Pr>
      <w:rFonts w:ascii="Segoe UI" w:hAnsi="Segoe UI" w:cs="Segoe UI"/>
      <w:sz w:val="18"/>
      <w:szCs w:val="1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customStyle="1" w:styleId="H1">
    <w:name w:val="H1"/>
    <w:basedOn w:val="a"/>
    <w:next w:val="a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Pr>
      <w:sz w:val="19"/>
      <w:szCs w:val="19"/>
      <w:lang w:bidi="ar-SA"/>
    </w:rPr>
  </w:style>
  <w:style w:type="paragraph" w:styleId="aa">
    <w:name w:val="Body Text"/>
    <w:basedOn w:val="a"/>
    <w:link w:val="a9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19"/>
      <w:lang w:val="x-none" w:eastAsia="x-none"/>
    </w:rPr>
  </w:style>
  <w:style w:type="character" w:customStyle="1" w:styleId="ab">
    <w:name w:val="Основной текст + Курсив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note text"/>
    <w:basedOn w:val="a"/>
    <w:semiHidden/>
    <w:rPr>
      <w:sz w:val="20"/>
      <w:szCs w:val="20"/>
    </w:rPr>
  </w:style>
  <w:style w:type="character" w:styleId="af0">
    <w:name w:val="footnote reference"/>
    <w:semiHidden/>
    <w:rPr>
      <w:vertAlign w:val="superscript"/>
    </w:rPr>
  </w:style>
  <w:style w:type="paragraph" w:customStyle="1" w:styleId="ListParagraph1">
    <w:name w:val="List Paragraph1"/>
    <w:basedOn w:val="a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Pr>
      <w:rFonts w:eastAsia="Times New Roman"/>
      <w:sz w:val="22"/>
      <w:szCs w:val="22"/>
      <w:lang w:eastAsia="en-US"/>
    </w:rPr>
  </w:style>
  <w:style w:type="paragraph" w:customStyle="1" w:styleId="af1">
    <w:name w:val=" Знак Знак Знак Знак Знак Знак Знак Знак Знак Знак Знак Знак Знак Знак Знак Знак"/>
    <w:basedOn w:val="a"/>
    <w:autoRedefine/>
    <w:pPr>
      <w:spacing w:line="240" w:lineRule="exact"/>
    </w:pPr>
    <w:rPr>
      <w:rFonts w:ascii="Times New Roman" w:hAnsi="Times New Roman"/>
      <w:sz w:val="28"/>
      <w:szCs w:val="20"/>
      <w:lang w:val="en-US"/>
    </w:rPr>
  </w:style>
  <w:style w:type="paragraph" w:customStyle="1" w:styleId="10">
    <w:name w:val="Абзац списка1"/>
    <w:basedOn w:val="a"/>
    <w:qFormat/>
    <w:pPr>
      <w:ind w:left="720"/>
      <w:contextualSpacing/>
    </w:pPr>
  </w:style>
  <w:style w:type="character" w:styleId="af2">
    <w:name w:val="Strong"/>
    <w:uiPriority w:val="22"/>
    <w:qFormat/>
    <w:locked/>
    <w:rPr>
      <w:b/>
      <w:bCs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126E2-974A-4026-A2C8-9D215EAC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INTERNET</cp:lastModifiedBy>
  <cp:revision>2</cp:revision>
  <cp:lastPrinted>2022-03-29T05:06:00Z</cp:lastPrinted>
  <dcterms:created xsi:type="dcterms:W3CDTF">2023-04-10T06:10:00Z</dcterms:created>
  <dcterms:modified xsi:type="dcterms:W3CDTF">2023-04-10T06:10:00Z</dcterms:modified>
</cp:coreProperties>
</file>