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ОБЪЯВЛЕНИЕ</w:t>
      </w:r>
    </w:p>
    <w:p>
      <w:pPr>
        <w:tabs>
          <w:tab w:val="num" w:pos="144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проведении конкурса на включение в кадровый резерв</w:t>
      </w:r>
    </w:p>
    <w:p>
      <w:pPr>
        <w:tabs>
          <w:tab w:val="num" w:pos="144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Управления Федеральной налоговой службы </w:t>
      </w:r>
      <w:r>
        <w:rPr>
          <w:b/>
          <w:sz w:val="26"/>
          <w:szCs w:val="26"/>
        </w:rPr>
        <w:br/>
        <w:t>по Магаданской области</w:t>
      </w:r>
    </w:p>
    <w:p>
      <w:pPr>
        <w:tabs>
          <w:tab w:val="num" w:pos="1440"/>
        </w:tabs>
        <w:jc w:val="center"/>
        <w:rPr>
          <w:sz w:val="16"/>
          <w:szCs w:val="16"/>
        </w:rPr>
      </w:pP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Управление Федеральной налоговой службы по Магаданской области (далее - Управление) проводит конкурс на включение гражданских служащих (граждан) в кадровый резерв для замещения должностей федеральной государственной гражданской службы: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ведущей группы должностей категории «руководители»;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ведущей группы должностей категории «специалисты»; 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старшей группы должностей категории «специалисты»;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старшей группы должностей категории «обеспечивающие специалисты».</w:t>
      </w:r>
    </w:p>
    <w:p>
      <w:pPr>
        <w:ind w:firstLine="708"/>
        <w:jc w:val="both"/>
        <w:rPr>
          <w:b/>
          <w:sz w:val="26"/>
          <w:szCs w:val="26"/>
        </w:rPr>
      </w:pPr>
    </w:p>
    <w:p>
      <w:pPr>
        <w:tabs>
          <w:tab w:val="num" w:pos="1200"/>
        </w:tabs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Место прохождения государственной гражданской службы – </w:t>
      </w:r>
      <w:r>
        <w:rPr>
          <w:sz w:val="26"/>
          <w:szCs w:val="26"/>
        </w:rPr>
        <w:t>Управление Федеральной налоговой службы  по Магаданской области, город Магадан.</w:t>
      </w:r>
    </w:p>
    <w:p>
      <w:pPr>
        <w:ind w:firstLine="709"/>
        <w:jc w:val="both"/>
        <w:rPr>
          <w:b/>
          <w:sz w:val="26"/>
          <w:szCs w:val="26"/>
        </w:rPr>
      </w:pPr>
    </w:p>
    <w:p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Требования к уровню профессионального образования:</w:t>
      </w:r>
    </w:p>
    <w:p>
      <w:pPr>
        <w:widowControl w:val="0"/>
        <w:ind w:firstLine="708"/>
        <w:jc w:val="both"/>
        <w:rPr>
          <w:rFonts w:eastAsia="Calibri"/>
          <w:spacing w:val="-4"/>
          <w:sz w:val="26"/>
          <w:szCs w:val="26"/>
          <w:lang w:eastAsia="en-US"/>
        </w:rPr>
      </w:pPr>
      <w:r>
        <w:rPr>
          <w:sz w:val="26"/>
          <w:szCs w:val="26"/>
        </w:rPr>
        <w:t>для ведущей</w:t>
      </w:r>
      <w:r>
        <w:rPr>
          <w:rFonts w:eastAsia="Calibri"/>
          <w:spacing w:val="-4"/>
          <w:sz w:val="26"/>
          <w:szCs w:val="26"/>
          <w:lang w:eastAsia="en-US"/>
        </w:rPr>
        <w:t xml:space="preserve"> группы должностей категории «руководители», ведущей</w:t>
      </w:r>
      <w:r>
        <w:rPr>
          <w:sz w:val="26"/>
          <w:szCs w:val="26"/>
        </w:rPr>
        <w:t xml:space="preserve"> и </w:t>
      </w:r>
      <w:r>
        <w:rPr>
          <w:rFonts w:eastAsia="Calibri"/>
          <w:spacing w:val="-4"/>
          <w:sz w:val="26"/>
          <w:szCs w:val="26"/>
          <w:lang w:eastAsia="en-US"/>
        </w:rPr>
        <w:t>старшей группы должностей категории «специалисты» - обязательно н</w:t>
      </w:r>
      <w:r>
        <w:rPr>
          <w:sz w:val="26"/>
          <w:szCs w:val="26"/>
        </w:rPr>
        <w:t>аличие высшего профессионального образования не ниже уровня «</w:t>
      </w:r>
      <w:proofErr w:type="spellStart"/>
      <w:r>
        <w:rPr>
          <w:sz w:val="26"/>
          <w:szCs w:val="26"/>
        </w:rPr>
        <w:t>бакалавриат</w:t>
      </w:r>
      <w:proofErr w:type="spellEnd"/>
      <w:r>
        <w:rPr>
          <w:sz w:val="26"/>
          <w:szCs w:val="26"/>
        </w:rPr>
        <w:t>»</w:t>
      </w:r>
      <w:r>
        <w:rPr>
          <w:rFonts w:eastAsia="Calibri"/>
          <w:spacing w:val="-4"/>
          <w:sz w:val="26"/>
          <w:szCs w:val="26"/>
          <w:lang w:eastAsia="en-US"/>
        </w:rPr>
        <w:t>;</w:t>
      </w:r>
    </w:p>
    <w:p>
      <w:pPr>
        <w:widowControl w:val="0"/>
        <w:ind w:firstLine="708"/>
        <w:jc w:val="both"/>
        <w:rPr>
          <w:rFonts w:eastAsia="Calibri"/>
          <w:spacing w:val="-4"/>
          <w:sz w:val="26"/>
          <w:szCs w:val="26"/>
          <w:lang w:eastAsia="en-US"/>
        </w:rPr>
      </w:pPr>
      <w:r>
        <w:rPr>
          <w:rFonts w:eastAsia="Calibri"/>
          <w:spacing w:val="-4"/>
          <w:sz w:val="26"/>
          <w:szCs w:val="26"/>
          <w:lang w:eastAsia="en-US"/>
        </w:rPr>
        <w:t>- для старшей группы должностей категории «обеспечивающие специалисты» - обязательно наличие профессионального образования;</w:t>
      </w:r>
    </w:p>
    <w:p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/>
          <w:sz w:val="26"/>
          <w:szCs w:val="26"/>
        </w:rPr>
        <w:t>Квалификационные требования к стажу работы:</w:t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без предъявления требований к стажу. </w:t>
      </w:r>
    </w:p>
    <w:p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  <w:lang w:eastAsia="en-US"/>
        </w:rPr>
        <w:t xml:space="preserve">           Т</w:t>
      </w:r>
      <w:r>
        <w:rPr>
          <w:b/>
          <w:sz w:val="26"/>
          <w:szCs w:val="26"/>
        </w:rPr>
        <w:t xml:space="preserve">ребования к базовым знаниям: </w:t>
      </w:r>
    </w:p>
    <w:p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знание государственного языка Российской Федерации (русского языка);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знание основ: 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Конституции Российской Федерации;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Федерального закона от 27 мая 2003 г. № 58-ФЗ «О системе государственной службы Российской Федерации»;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Федерального закона от 27 июля 2004 г. № 79-ФЗ «О государственной гражданской службе Российской Федерации»;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Федерального закона от 25 декабря 2008 г. № 273-ФЗ  «О противодействии коррупции»;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знания в области информационно-коммуникационных технологий.</w:t>
      </w:r>
      <w:r>
        <w:rPr>
          <w:sz w:val="26"/>
          <w:szCs w:val="26"/>
        </w:rPr>
        <w:t xml:space="preserve"> </w:t>
      </w:r>
    </w:p>
    <w:p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Требования к базовым умениям: </w:t>
      </w:r>
    </w:p>
    <w:p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мыслить системно (стратегически); 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-планировать и рационально использовать рабочее время и достигать результата;</w:t>
      </w:r>
    </w:p>
    <w:p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eastAsia="Calibri"/>
          <w:sz w:val="26"/>
          <w:szCs w:val="26"/>
        </w:rPr>
        <w:t xml:space="preserve">коммуникативные умения; </w:t>
      </w:r>
    </w:p>
    <w:p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 xml:space="preserve">- умения управлять изменениями; </w:t>
      </w:r>
      <w:r>
        <w:rPr>
          <w:color w:val="000001"/>
          <w:sz w:val="26"/>
          <w:szCs w:val="26"/>
        </w:rPr>
        <w:t>работать с информационными ресурсами.</w:t>
      </w:r>
      <w:r>
        <w:rPr>
          <w:sz w:val="26"/>
          <w:szCs w:val="26"/>
        </w:rPr>
        <w:t xml:space="preserve"> </w:t>
      </w:r>
    </w:p>
    <w:p>
      <w:pPr>
        <w:widowControl w:val="0"/>
        <w:ind w:firstLine="708"/>
        <w:jc w:val="both"/>
        <w:rPr>
          <w:rFonts w:eastAsia="Calibri"/>
          <w:b/>
          <w:spacing w:val="-4"/>
          <w:sz w:val="26"/>
          <w:szCs w:val="26"/>
          <w:lang w:eastAsia="en-US"/>
        </w:rPr>
      </w:pPr>
      <w:r>
        <w:rPr>
          <w:rFonts w:eastAsia="Calibri"/>
          <w:b/>
          <w:spacing w:val="-4"/>
          <w:sz w:val="26"/>
          <w:szCs w:val="26"/>
          <w:lang w:eastAsia="en-US"/>
        </w:rPr>
        <w:t xml:space="preserve">Наличие профессиональных знаний: </w:t>
      </w:r>
    </w:p>
    <w:p>
      <w:pPr>
        <w:widowControl w:val="0"/>
        <w:ind w:firstLine="708"/>
        <w:jc w:val="both"/>
        <w:rPr>
          <w:rFonts w:eastAsia="Calibri"/>
          <w:spacing w:val="-4"/>
          <w:sz w:val="26"/>
          <w:szCs w:val="26"/>
          <w:lang w:eastAsia="en-US"/>
        </w:rPr>
      </w:pPr>
      <w:r>
        <w:rPr>
          <w:rFonts w:eastAsia="Calibri"/>
          <w:spacing w:val="-4"/>
          <w:sz w:val="26"/>
          <w:szCs w:val="26"/>
          <w:lang w:eastAsia="en-US"/>
        </w:rPr>
        <w:t xml:space="preserve">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>
        <w:rPr>
          <w:rFonts w:eastAsia="Calibri"/>
          <w:spacing w:val="-4"/>
          <w:sz w:val="26"/>
          <w:szCs w:val="26"/>
          <w:lang w:eastAsia="en-US"/>
        </w:rPr>
        <w:t>применения</w:t>
      </w:r>
      <w:proofErr w:type="gramEnd"/>
      <w:r>
        <w:rPr>
          <w:rFonts w:eastAsia="Calibri"/>
          <w:spacing w:val="-4"/>
          <w:sz w:val="26"/>
          <w:szCs w:val="26"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</w:t>
      </w:r>
      <w:r>
        <w:rPr>
          <w:rFonts w:eastAsia="Calibri"/>
          <w:spacing w:val="-4"/>
          <w:sz w:val="26"/>
          <w:szCs w:val="26"/>
          <w:lang w:eastAsia="en-US"/>
        </w:rPr>
        <w:lastRenderedPageBreak/>
        <w:t xml:space="preserve">документооборота; общих вопросов в области обеспечения информационной безопасности; основы экономики, финансов и кредита, бухгалтерского и налогового учета; основы налогообложения; </w:t>
      </w:r>
      <w:r>
        <w:rPr>
          <w:sz w:val="26"/>
          <w:szCs w:val="26"/>
        </w:rPr>
        <w:t>принципы формирования налоговой системы Российской Федерации; принципы налогового администрирования.</w:t>
      </w:r>
    </w:p>
    <w:p>
      <w:pPr>
        <w:widowControl w:val="0"/>
        <w:ind w:firstLine="708"/>
        <w:jc w:val="both"/>
        <w:rPr>
          <w:rFonts w:eastAsia="Calibri"/>
          <w:spacing w:val="-4"/>
          <w:sz w:val="26"/>
          <w:szCs w:val="26"/>
          <w:lang w:eastAsia="en-US"/>
        </w:rPr>
      </w:pPr>
      <w:proofErr w:type="gramStart"/>
      <w:r>
        <w:rPr>
          <w:rFonts w:eastAsia="Calibri"/>
          <w:b/>
          <w:spacing w:val="-4"/>
          <w:sz w:val="26"/>
          <w:szCs w:val="26"/>
          <w:lang w:eastAsia="en-US"/>
        </w:rPr>
        <w:t>Наличие профессиональных умений</w:t>
      </w:r>
      <w:r>
        <w:rPr>
          <w:rFonts w:eastAsia="Calibri"/>
          <w:spacing w:val="-4"/>
          <w:sz w:val="26"/>
          <w:szCs w:val="26"/>
          <w:lang w:eastAsia="en-US"/>
        </w:rPr>
        <w:t>, необходимых для выполнения работы в сфере, соответствующей направлению деятельности Управления, обеспечения выполнения поставленных руководством задач, эффективного планирования служебного времени,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>
        <w:rPr>
          <w:rFonts w:eastAsia="Calibri"/>
          <w:spacing w:val="-4"/>
          <w:sz w:val="26"/>
          <w:szCs w:val="26"/>
          <w:lang w:eastAsia="en-US"/>
        </w:rPr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>
      <w:pPr>
        <w:widowControl w:val="0"/>
        <w:ind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Должностные обязанности, права и ответственность.</w:t>
      </w:r>
    </w:p>
    <w:p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Основные права и обязанности, а также запреты и требования, связанные с гражданской службой, предусмотрены статьями 14, 15, 17, 18 Федерального закона от 27 июля 2004 г. № 79-ФЗ «О государственной гражданской службе Российской Федерации».</w:t>
      </w:r>
    </w:p>
    <w:p>
      <w:pPr>
        <w:widowControl w:val="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Должностные обязанности гражданского служащего: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соблюдать общие принципы служебного поведения государственных гражданских служащих, утвержденные </w:t>
      </w:r>
      <w:hyperlink r:id="rId8" w:history="1">
        <w:r>
          <w:rPr>
            <w:sz w:val="26"/>
            <w:szCs w:val="26"/>
          </w:rPr>
          <w:t>Указом</w:t>
        </w:r>
      </w:hyperlink>
      <w:r>
        <w:rPr>
          <w:sz w:val="26"/>
          <w:szCs w:val="26"/>
        </w:rP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>
          <w:rPr>
            <w:sz w:val="26"/>
            <w:szCs w:val="26"/>
          </w:rPr>
          <w:t>2002 г</w:t>
        </w:r>
      </w:smartTag>
      <w:r>
        <w:rPr>
          <w:sz w:val="26"/>
          <w:szCs w:val="26"/>
        </w:rPr>
        <w:t>. N 885;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  <w:t>своевременно и качественно исполнять поручения руководителей;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исполнять должностные обязанности в соответствии с должностным регламентом на высоком профессиональном уровне;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  <w:t>соблюдать при исполнении должностных обязанностей права и законные интересы граждан и организаций;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  <w:t>соблюдать Служебный распорядок Управления;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  <w:t>поддерживать уровень квалификации, необходимый для надлежащего исполнения должностных обязанностей;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беречь государственное  имущество, в том числе предоставленное ему для исполнения должностных обязанностей;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взаимодействовать с сотрудниками других подразделений Управления, других государственных органов для решения вопросов, входящих в его компетенцию;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>соблюдать ограничения, выполнять обязательства и требования к служебному поведению, не нарушать запреты, которые установлены законодательством Российской Федерации;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  <w:t>не совершать поступки, порочащие его честь и достоинство;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</w:t>
      </w:r>
      <w:r>
        <w:rPr>
          <w:sz w:val="26"/>
          <w:szCs w:val="26"/>
        </w:rPr>
        <w:tab/>
        <w:t>проявлять корректность в обращении с гражданами и сотрудниками Управления;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не допускать конфликтных ситуаций, способных нанести ущерб его репутации или авторитету Управления;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соблюдать установленные правила публичных выступлений и предоставления служебной информации.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целях исполнения возложенных должностных обязанностей гражданский служащий имеет право на: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надлежащими организационно-техническими условиями, необходимыми для исполнения должностных обязанностей;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ознакомление с должностным регламентом и иными документами, определяющими его права и обязанности по замещаемой должности государственной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по совершенствованию деятельности Управления;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оплату труда и другие выплаты в соответствии с федеральными законами, иными нормативными правовыми актами Российской Федерации и со служебным контрактом;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защиту сведений о себе;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должностной рост на конкурсной основе;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профессиональную переподготовку, повышение квалификации и стажировку в порядке, установленном законодательством Российской Федерации;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членство в профессиональном союзе;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рассмотрение индивидуальных служебных споров в соответствии с законодательством о государственной гражданской службе;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проведение по его заявлению служебной проверки;</w:t>
      </w:r>
    </w:p>
    <w:p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защиту своих прав и законных интересов, в том числе в суде, при прохождении государственной гражданской службы; 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выходить с предложениями о совершенствовании работы отдела. </w:t>
      </w:r>
    </w:p>
    <w:p>
      <w:pPr>
        <w:widowControl w:val="0"/>
        <w:ind w:firstLine="708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Гражданский служащий</w:t>
      </w:r>
      <w:r>
        <w:rPr>
          <w:rFonts w:eastAsia="Calibri"/>
          <w:sz w:val="26"/>
          <w:szCs w:val="26"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об Управлении Федеральной налоговой службы, утвержденным руководителем Управления ФНС </w:t>
      </w:r>
      <w:r>
        <w:rPr>
          <w:rFonts w:eastAsia="Calibri"/>
          <w:sz w:val="26"/>
          <w:szCs w:val="26"/>
        </w:rPr>
        <w:lastRenderedPageBreak/>
        <w:t>России по Магаданской области «08» декабря 2020 г., положениями об отделах Управления, приказами (распоряжениями) ФНС России, приказами Управления.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Эффективность профессиональной служебной деятельности оценивается по следующим показателям:</w:t>
      </w:r>
    </w:p>
    <w:p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своевременности и оперативности выполнения поручений;</w:t>
      </w:r>
    </w:p>
    <w:p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осознанию ответственности за последствия своих действий.</w:t>
      </w:r>
    </w:p>
    <w:p>
      <w:pPr>
        <w:widowControl w:val="0"/>
        <w:ind w:firstLine="708"/>
        <w:jc w:val="both"/>
        <w:rPr>
          <w:rFonts w:eastAsia="Calibri"/>
          <w:spacing w:val="-4"/>
          <w:sz w:val="26"/>
          <w:szCs w:val="26"/>
          <w:lang w:eastAsia="en-US"/>
        </w:rPr>
      </w:pPr>
    </w:p>
    <w:p>
      <w:pPr>
        <w:pStyle w:val="2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Гражданин, изъявивший желание принять участие в конкурсе, представляет следующие документы:</w:t>
      </w:r>
    </w:p>
    <w:p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личное заявление;</w:t>
      </w:r>
    </w:p>
    <w:p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 заполненную и подписанную анкету по форме, утвержденной распоряжением Правительства Российской Федерации от 26 мая 2005 г. № 667-р (с изменениями и дополнениями) с приложением фотографий;</w:t>
      </w:r>
    </w:p>
    <w:p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г)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документы, подтверждающие необходимое профессиональное образование, квалификацию и стаж работы: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д) документ об отсутствии у гражданина заболевания, препятствующего поступлению на гражданскую службу или ее прохождению (заключение </w:t>
      </w:r>
      <w:r>
        <w:rPr>
          <w:rFonts w:ascii="Times New Roman" w:hAnsi="Times New Roman"/>
          <w:sz w:val="26"/>
          <w:szCs w:val="26"/>
        </w:rPr>
        <w:lastRenderedPageBreak/>
        <w:t xml:space="preserve">медицинского учреждения по форме № 001-ГС/у, утв. Приказом </w:t>
      </w:r>
      <w:proofErr w:type="spellStart"/>
      <w:r>
        <w:rPr>
          <w:rFonts w:ascii="Times New Roman" w:hAnsi="Times New Roman"/>
          <w:sz w:val="26"/>
          <w:szCs w:val="26"/>
        </w:rPr>
        <w:t>Минздравсоцразвития</w:t>
      </w:r>
      <w:proofErr w:type="spellEnd"/>
      <w:r>
        <w:rPr>
          <w:rFonts w:ascii="Times New Roman" w:hAnsi="Times New Roman"/>
          <w:sz w:val="26"/>
          <w:szCs w:val="26"/>
        </w:rPr>
        <w:t xml:space="preserve"> РФ от 14.12.2009 № 984н);</w:t>
      </w:r>
    </w:p>
    <w:p>
      <w:pPr>
        <w:pStyle w:val="2"/>
        <w:tabs>
          <w:tab w:val="left" w:pos="0"/>
        </w:tabs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е)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копию страхового свидетельства обязательного пенсионного страхования</w:t>
      </w:r>
      <w:r>
        <w:rPr>
          <w:rFonts w:ascii="Times New Roman" w:hAnsi="Times New Roman"/>
          <w:b/>
          <w:sz w:val="26"/>
          <w:szCs w:val="26"/>
        </w:rPr>
        <w:t>;</w:t>
      </w:r>
    </w:p>
    <w:p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</w:t>
      </w:r>
      <w:r>
        <w:rPr>
          <w:rFonts w:ascii="Times New Roman" w:hAnsi="Times New Roman"/>
          <w:b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копию свидетельства о постановке физического лица на учет в  налоговом органе по месту жительства на территории Российской Федерации;</w:t>
      </w:r>
    </w:p>
    <w:p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>
        <w:rPr>
          <w:rFonts w:ascii="Times New Roman" w:hAnsi="Times New Roman"/>
          <w:b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копии документов воинского учета (для военнообязанных и лиц, подлежащих призыву на военную службу);</w:t>
      </w:r>
    </w:p>
    <w:p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и) сведения об адресах сайтов и (или) страниц сайтов в информационно-телекоммуникационной сети «Интернет» на которых гражданином Российской Федерации, претендующим на замещение должности государственной гражданской службы Российской Федерации, размещались общедоступная информация, а также данные, позволяющие его идентифицировать по форме, утвержденной распоряжением Правительства Российской Федерации от 28.12.2016 № 2867-р;</w:t>
      </w:r>
    </w:p>
    <w:p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b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копии свидетельств о государственной регистрации актов гражданского состояния;</w:t>
      </w:r>
    </w:p>
    <w:p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м) копию полиса обязательного медицинского страхования;</w:t>
      </w:r>
    </w:p>
    <w:p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н) при наличии – документ, подтверждающий допуск к сведениям, составляющим государственную и иную охраняемую законом тайну;</w:t>
      </w:r>
    </w:p>
    <w:p>
      <w:pPr>
        <w:pStyle w:val="2"/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>
      <w:pPr>
        <w:autoSpaceDE w:val="0"/>
        <w:autoSpaceDN w:val="0"/>
        <w:adjustRightInd w:val="0"/>
        <w:ind w:firstLine="426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ab/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ab/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информационной системы в области государственной службы в сети "Интернет".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Прием документов производится по адресу: г. Магадан, ул. Пролетарская, </w:t>
      </w:r>
      <w:r>
        <w:rPr>
          <w:sz w:val="26"/>
          <w:szCs w:val="26"/>
        </w:rPr>
        <w:br/>
        <w:t xml:space="preserve">д. 12,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№ 410, с 09 ч. 00 мин. до 13 ч. 00 мин. и с 14 ч. 15 мин. до 17 ч. 00 мин.,  </w:t>
      </w:r>
      <w:r>
        <w:rPr>
          <w:sz w:val="26"/>
          <w:szCs w:val="26"/>
        </w:rPr>
        <w:br/>
        <w:t xml:space="preserve">тел. 8 (4132) 62-25-29 в течение 21 дня </w:t>
      </w:r>
      <w:r>
        <w:rPr>
          <w:color w:val="000000"/>
          <w:sz w:val="26"/>
          <w:szCs w:val="26"/>
        </w:rPr>
        <w:t xml:space="preserve">со дня размещения на официальном сайте федеральной государственной информационной системы </w:t>
      </w:r>
      <w:r>
        <w:rPr>
          <w:sz w:val="26"/>
          <w:szCs w:val="26"/>
        </w:rPr>
        <w:t>«Единая информационная система управления кадровым составом государственной гражданской</w:t>
      </w:r>
      <w:proofErr w:type="gramEnd"/>
      <w:r>
        <w:rPr>
          <w:sz w:val="26"/>
          <w:szCs w:val="26"/>
        </w:rPr>
        <w:t xml:space="preserve"> службы Российской Федерации» </w:t>
      </w:r>
      <w:r>
        <w:rPr>
          <w:color w:val="000000"/>
          <w:sz w:val="26"/>
          <w:szCs w:val="26"/>
        </w:rPr>
        <w:t xml:space="preserve">и в региональном блоке официального сайта ФНС России </w:t>
      </w:r>
      <w:r>
        <w:rPr>
          <w:sz w:val="26"/>
          <w:szCs w:val="26"/>
        </w:rPr>
        <w:t>(</w:t>
      </w:r>
      <w:r>
        <w:rPr>
          <w:b/>
          <w:sz w:val="26"/>
          <w:szCs w:val="26"/>
        </w:rPr>
        <w:t>с 20 октября по 09 ноября 2022 г.</w:t>
      </w:r>
      <w:r>
        <w:rPr>
          <w:sz w:val="26"/>
          <w:szCs w:val="26"/>
        </w:rPr>
        <w:t>).</w:t>
      </w:r>
    </w:p>
    <w:p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ab/>
      </w:r>
      <w:r>
        <w:rPr>
          <w:sz w:val="26"/>
          <w:szCs w:val="26"/>
        </w:rPr>
        <w:t xml:space="preserve">Предполагаемая дата проведения конкурса </w:t>
      </w:r>
      <w:r>
        <w:rPr>
          <w:b/>
          <w:sz w:val="26"/>
          <w:szCs w:val="26"/>
        </w:rPr>
        <w:t xml:space="preserve">с 28 ноября по 06 декабря </w:t>
      </w:r>
      <w:r>
        <w:rPr>
          <w:b/>
          <w:sz w:val="26"/>
          <w:szCs w:val="26"/>
        </w:rPr>
        <w:br/>
        <w:t>2022 г</w:t>
      </w:r>
      <w:r>
        <w:rPr>
          <w:sz w:val="26"/>
          <w:szCs w:val="26"/>
        </w:rPr>
        <w:t>.</w:t>
      </w:r>
    </w:p>
    <w:p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Место проведения конкурса: г. Магадан, ул. Пролетарская, д. 12, </w:t>
      </w:r>
      <w:proofErr w:type="spellStart"/>
      <w:r>
        <w:rPr>
          <w:rFonts w:ascii="Times New Roman" w:hAnsi="Times New Roman"/>
          <w:sz w:val="26"/>
          <w:szCs w:val="26"/>
        </w:rPr>
        <w:t>каб</w:t>
      </w:r>
      <w:proofErr w:type="spellEnd"/>
      <w:r>
        <w:rPr>
          <w:rFonts w:ascii="Times New Roman" w:hAnsi="Times New Roman"/>
          <w:sz w:val="26"/>
          <w:szCs w:val="26"/>
        </w:rPr>
        <w:t xml:space="preserve">. 303. </w:t>
      </w:r>
    </w:p>
    <w:p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  <w:t>Конкурс проводится в форме индивидуального собеседования по вопросам, связанным с выполнением должностных обязанностей по группе должностей гражданской службы, по которой формируется кадровый резерв, а также в форме тестирования на выявление знаний из шести областей:</w:t>
      </w:r>
    </w:p>
    <w:p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знание государственного языка Российской Федерации – русского языка;</w:t>
      </w:r>
    </w:p>
    <w:p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знание Конституции Российской Федерации и основ конституционного устройства Российской Федерации;</w:t>
      </w:r>
    </w:p>
    <w:p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знание законодательства о гражданской службе;</w:t>
      </w:r>
    </w:p>
    <w:p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знание законодательства Российской Федерации о противодействии коррупции;</w:t>
      </w:r>
    </w:p>
    <w:p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знания в области информационно-коммуникационных технологий;</w:t>
      </w:r>
    </w:p>
    <w:p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- специальные знания по направлениям деятельности гражданской службы. </w:t>
      </w:r>
    </w:p>
    <w:p>
      <w:pPr>
        <w:pStyle w:val="2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Гражданин, изъявивший желание принять участие в конкурсе, может пройти предварительный квалификационный тест вне рамок конкурса для самостоятельной оценки своего профессионального уровня. Тестовые вопросы размещены в разделе «Тесты для самопроверки»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</w:t>
      </w:r>
      <w:r>
        <w:rPr>
          <w:rFonts w:ascii="Times New Roman" w:hAnsi="Times New Roman"/>
          <w:sz w:val="26"/>
          <w:szCs w:val="26"/>
          <w:lang w:val="en-US"/>
        </w:rPr>
        <w:t>http</w:t>
      </w:r>
      <w:r>
        <w:rPr>
          <w:rFonts w:ascii="Times New Roman" w:hAnsi="Times New Roman"/>
          <w:sz w:val="26"/>
          <w:szCs w:val="26"/>
        </w:rPr>
        <w:t>://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gossluzhba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>)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Гражданский служащий (гражданин) не допускается к участию в конкурсе в случае его несоответствия квалификационным требованиям для замещения должностей федеральной гражданской службы, на включение в кадровый резерв для замещения которых объявлен конкурс, а также требованиям к гражданским служащим, установленным законодательством Российской Федерации о государственной гражданской службе.     </w:t>
      </w:r>
    </w:p>
    <w:p>
      <w:pPr>
        <w:pStyle w:val="2"/>
        <w:tabs>
          <w:tab w:val="left" w:pos="709"/>
          <w:tab w:val="left" w:pos="851"/>
        </w:tabs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Гражданский служащий не допускается к участию в конкурсе в случае наличия у него дисциплинарного взыскания, предусмотренного </w:t>
      </w:r>
      <w:hyperlink r:id="rId9" w:history="1">
        <w:r>
          <w:rPr>
            <w:rFonts w:ascii="Times New Roman" w:hAnsi="Times New Roman"/>
            <w:sz w:val="26"/>
            <w:szCs w:val="26"/>
          </w:rPr>
          <w:t>пунктом 2</w:t>
        </w:r>
      </w:hyperlink>
      <w:r>
        <w:rPr>
          <w:rFonts w:ascii="Times New Roman" w:hAnsi="Times New Roman"/>
          <w:sz w:val="26"/>
          <w:szCs w:val="26"/>
        </w:rPr>
        <w:t xml:space="preserve"> или </w:t>
      </w:r>
      <w:hyperlink r:id="rId10" w:history="1">
        <w:r>
          <w:rPr>
            <w:rFonts w:ascii="Times New Roman" w:hAnsi="Times New Roman"/>
            <w:sz w:val="26"/>
            <w:szCs w:val="26"/>
          </w:rPr>
          <w:t>3 части 1 статьи 57</w:t>
        </w:r>
      </w:hyperlink>
      <w:r>
        <w:rPr>
          <w:rFonts w:ascii="Times New Roman" w:hAnsi="Times New Roman"/>
          <w:sz w:val="26"/>
          <w:szCs w:val="26"/>
        </w:rPr>
        <w:t xml:space="preserve"> либо </w:t>
      </w:r>
      <w:hyperlink r:id="rId11" w:history="1">
        <w:r>
          <w:rPr>
            <w:rFonts w:ascii="Times New Roman" w:hAnsi="Times New Roman"/>
            <w:sz w:val="26"/>
            <w:szCs w:val="26"/>
          </w:rPr>
          <w:t>пунктом 2</w:t>
        </w:r>
      </w:hyperlink>
      <w:r>
        <w:rPr>
          <w:rFonts w:ascii="Times New Roman" w:hAnsi="Times New Roman"/>
          <w:sz w:val="26"/>
          <w:szCs w:val="26"/>
        </w:rPr>
        <w:t xml:space="preserve"> или </w:t>
      </w:r>
      <w:hyperlink r:id="rId12" w:history="1">
        <w:r>
          <w:rPr>
            <w:rFonts w:ascii="Times New Roman" w:hAnsi="Times New Roman"/>
            <w:sz w:val="26"/>
            <w:szCs w:val="26"/>
          </w:rPr>
          <w:t>3 статьи 59.1</w:t>
        </w:r>
      </w:hyperlink>
      <w:r>
        <w:rPr>
          <w:rFonts w:ascii="Times New Roman" w:hAnsi="Times New Roman"/>
          <w:sz w:val="26"/>
          <w:szCs w:val="26"/>
        </w:rPr>
        <w:t xml:space="preserve"> Федерального закона </w:t>
      </w:r>
      <w:r>
        <w:rPr>
          <w:rFonts w:ascii="Times New Roman" w:hAnsi="Times New Roman"/>
          <w:sz w:val="26"/>
          <w:szCs w:val="26"/>
        </w:rPr>
        <w:br/>
        <w:t xml:space="preserve">"О государственной гражданской службе Российской Федерации". </w:t>
      </w:r>
      <w:bookmarkStart w:id="1" w:name="P102"/>
      <w:bookmarkEnd w:id="1"/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Документы претендентов,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Кандидат вправе обжаловать решение конкурсной комиссии в соответствии с </w:t>
      </w:r>
      <w:hyperlink r:id="rId13" w:history="1">
        <w:r>
          <w:rPr>
            <w:sz w:val="26"/>
            <w:szCs w:val="26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Федерации.</w:t>
      </w:r>
    </w:p>
    <w:p/>
    <w:sectPr>
      <w:headerReference w:type="default" r:id="rId14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084541"/>
      <w:docPartObj>
        <w:docPartGallery w:val="Page Numbers (Top of Page)"/>
        <w:docPartUnique/>
      </w:docPartObj>
    </w:sdtPr>
    <w:sdtContent>
      <w:p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rPr>
      <w:rFonts w:ascii="Arial" w:hAnsi="Arial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uiPriority w:val="99"/>
    <w:pPr>
      <w:widowControl w:val="0"/>
      <w:autoSpaceDE w:val="0"/>
      <w:autoSpaceDN w:val="0"/>
      <w:adjustRightInd w:val="0"/>
      <w:spacing w:line="312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rPr>
      <w:rFonts w:ascii="Arial" w:hAnsi="Arial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uiPriority w:val="99"/>
    <w:pPr>
      <w:widowControl w:val="0"/>
      <w:autoSpaceDE w:val="0"/>
      <w:autoSpaceDN w:val="0"/>
      <w:adjustRightInd w:val="0"/>
      <w:spacing w:line="312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8749ED66D4E9790B35D6703FC8A0F5B26F8EC28AFC0AFFBFE9106D187F5C4B035B0DB8C6E6FFY35AC" TargetMode="External"/><Relationship Id="rId13" Type="http://schemas.openxmlformats.org/officeDocument/2006/relationships/hyperlink" Target="consultantplus://offline/ref=FE6CE6F352CA2AF4CC008F6C157626B43EBF3DD63AA3CB53F1CABB1BC3E311E8235C816DB3AF9B77q9D6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B0A7138CFCD987D6BCF1A5A84A6CEC12D373EFC754E2271C35BBCE2079103141B4D8B51H5OF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B0A7138CFCD987D6BCF1A5A84A6CEC12D373EFC754E2271C35BBCE2079103141B4D8B51H5O0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B0A7138CFCD987D6BCF1A5A84A6CEC12D373EFC754E2271C35BBCE2079103141B4D8B5557753942H5O2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0A7138CFCD987D6BCF1A5A84A6CEC12D373EFC754E2271C35BBCE2079103141B4D8B5557753942H5O3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28849-3729-45E9-8D6D-F513B5C05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2541</Words>
  <Characters>14487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Шишова Алена Игоревна</dc:creator>
  <cp:lastModifiedBy>Дудникова</cp:lastModifiedBy>
  <cp:revision>2</cp:revision>
  <cp:lastPrinted>2021-06-22T04:27:00Z</cp:lastPrinted>
  <dcterms:created xsi:type="dcterms:W3CDTF">2022-10-20T05:45:00Z</dcterms:created>
  <dcterms:modified xsi:type="dcterms:W3CDTF">2022-10-20T05:45:00Z</dcterms:modified>
</cp:coreProperties>
</file>