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2D" w:rsidRPr="00AF7B56" w:rsidRDefault="00C6452D">
      <w:pPr>
        <w:pStyle w:val="ConsPlusTitle"/>
        <w:jc w:val="center"/>
        <w:outlineLvl w:val="0"/>
      </w:pPr>
      <w:bookmarkStart w:id="0" w:name="_GoBack"/>
      <w:bookmarkEnd w:id="0"/>
      <w:r w:rsidRPr="00AF7B56">
        <w:t>ЛОВОЗЕРСКИЙ РАЙОННЫЙ СОВЕТ</w:t>
      </w:r>
    </w:p>
    <w:p w:rsidR="00C6452D" w:rsidRPr="00AF7B56" w:rsidRDefault="00C6452D">
      <w:pPr>
        <w:pStyle w:val="ConsPlusTitle"/>
        <w:jc w:val="center"/>
      </w:pPr>
      <w:r w:rsidRPr="00AF7B56">
        <w:t>(СЕДЬМОЕ ЗАСЕДАНИЕ ТРЕТЬЕГО СОЗЫВА)</w:t>
      </w:r>
    </w:p>
    <w:p w:rsidR="00C6452D" w:rsidRPr="00AF7B56" w:rsidRDefault="00C6452D">
      <w:pPr>
        <w:pStyle w:val="ConsPlusTitle"/>
        <w:jc w:val="center"/>
      </w:pPr>
    </w:p>
    <w:p w:rsidR="00C6452D" w:rsidRPr="00AF7B56" w:rsidRDefault="00C6452D">
      <w:pPr>
        <w:pStyle w:val="ConsPlusTitle"/>
        <w:jc w:val="center"/>
      </w:pPr>
      <w:r w:rsidRPr="00AF7B56">
        <w:t>РЕШЕНИЕ</w:t>
      </w:r>
    </w:p>
    <w:p w:rsidR="00C6452D" w:rsidRPr="00AF7B56" w:rsidRDefault="00C6452D">
      <w:pPr>
        <w:pStyle w:val="ConsPlusTitle"/>
        <w:jc w:val="center"/>
      </w:pPr>
      <w:r w:rsidRPr="00AF7B56">
        <w:t>от 17 ноября 2005 г. N 47</w:t>
      </w:r>
    </w:p>
    <w:p w:rsidR="00C6452D" w:rsidRPr="00AF7B56" w:rsidRDefault="00C6452D">
      <w:pPr>
        <w:pStyle w:val="ConsPlusTitle"/>
        <w:jc w:val="center"/>
      </w:pPr>
    </w:p>
    <w:p w:rsidR="00C6452D" w:rsidRPr="00AF7B56" w:rsidRDefault="00C6452D">
      <w:pPr>
        <w:pStyle w:val="ConsPlusTitle"/>
        <w:jc w:val="center"/>
      </w:pPr>
      <w:r w:rsidRPr="00AF7B56">
        <w:t xml:space="preserve">О СИСТЕМЕ НАЛОГООБЛОЖЕНИЯ В ВИДЕ ЕДИНОГО НАЛОГА НА </w:t>
      </w:r>
      <w:proofErr w:type="gramStart"/>
      <w:r w:rsidRPr="00AF7B56">
        <w:t>ВМЕНЕННЫЙ</w:t>
      </w:r>
      <w:proofErr w:type="gramEnd"/>
    </w:p>
    <w:p w:rsidR="00C6452D" w:rsidRPr="00AF7B56" w:rsidRDefault="00C6452D">
      <w:pPr>
        <w:pStyle w:val="ConsPlusTitle"/>
        <w:jc w:val="center"/>
      </w:pPr>
      <w:r w:rsidRPr="00AF7B56">
        <w:t>ДОХОД ДЛЯ ОТДЕЛЬНЫХ ВИДОВ ДЕЯТЕЛЬНОСТИ</w:t>
      </w:r>
    </w:p>
    <w:p w:rsidR="00C6452D" w:rsidRPr="00AF7B56" w:rsidRDefault="00C6452D">
      <w:pPr>
        <w:pStyle w:val="ConsPlusNormal"/>
        <w:jc w:val="center"/>
      </w:pPr>
    </w:p>
    <w:p w:rsidR="00C6452D" w:rsidRPr="00AF7B56" w:rsidRDefault="00C6452D">
      <w:pPr>
        <w:pStyle w:val="ConsPlusNormal"/>
        <w:jc w:val="center"/>
      </w:pPr>
      <w:r w:rsidRPr="00AF7B56">
        <w:t>Список изменяющих документов</w:t>
      </w:r>
    </w:p>
    <w:p w:rsidR="00C6452D" w:rsidRPr="00AF7B56" w:rsidRDefault="00C6452D">
      <w:pPr>
        <w:pStyle w:val="ConsPlusNormal"/>
        <w:jc w:val="center"/>
      </w:pPr>
      <w:proofErr w:type="gramStart"/>
      <w:r w:rsidRPr="00AF7B56">
        <w:t xml:space="preserve">(в ред. решений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</w:t>
      </w:r>
      <w:proofErr w:type="gramEnd"/>
    </w:p>
    <w:p w:rsidR="00C6452D" w:rsidRPr="00AF7B56" w:rsidRDefault="00C6452D">
      <w:pPr>
        <w:pStyle w:val="ConsPlusNormal"/>
        <w:jc w:val="center"/>
      </w:pPr>
      <w:r w:rsidRPr="00AF7B56">
        <w:t>от 22.11.2006 N 139, от 26.11.2007 N 223, от 28.02.2008 N 259,</w:t>
      </w:r>
    </w:p>
    <w:p w:rsidR="00C6452D" w:rsidRPr="00AF7B56" w:rsidRDefault="00C6452D">
      <w:pPr>
        <w:pStyle w:val="ConsPlusNormal"/>
        <w:jc w:val="center"/>
      </w:pPr>
      <w:r w:rsidRPr="00AF7B56">
        <w:t>от 21.11.2008 N 305, от 29.09.2009 N 357, от 25.11.2010 N 87,</w:t>
      </w:r>
    </w:p>
    <w:p w:rsidR="00C6452D" w:rsidRPr="00AF7B56" w:rsidRDefault="00C6452D">
      <w:pPr>
        <w:pStyle w:val="ConsPlusNormal"/>
        <w:jc w:val="center"/>
      </w:pPr>
      <w:r w:rsidRPr="00AF7B56">
        <w:t>от 27.10.2011 N 157, от 27.09.2012 N 204, от 29.08.2013 N 270,</w:t>
      </w:r>
    </w:p>
    <w:p w:rsidR="00C6452D" w:rsidRPr="00AF7B56" w:rsidRDefault="00C6452D">
      <w:pPr>
        <w:pStyle w:val="ConsPlusNormal"/>
        <w:jc w:val="center"/>
      </w:pPr>
      <w:r w:rsidRPr="00AF7B56">
        <w:t xml:space="preserve">Совета депутатов </w:t>
      </w:r>
      <w:proofErr w:type="spellStart"/>
      <w:r w:rsidRPr="00AF7B56">
        <w:t>Ловозерского</w:t>
      </w:r>
      <w:proofErr w:type="spellEnd"/>
      <w:r w:rsidRPr="00AF7B56">
        <w:t xml:space="preserve"> района</w:t>
      </w:r>
    </w:p>
    <w:p w:rsidR="00C6452D" w:rsidRPr="00AF7B56" w:rsidRDefault="00C6452D">
      <w:pPr>
        <w:pStyle w:val="ConsPlusNormal"/>
        <w:jc w:val="center"/>
      </w:pPr>
      <w:r w:rsidRPr="00AF7B56">
        <w:t>от 30.10.2014 N 68, от 29.10.2015 N 128, от 22.12.2016 N 205)</w:t>
      </w: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ind w:firstLine="540"/>
        <w:jc w:val="both"/>
      </w:pPr>
      <w:r w:rsidRPr="00AF7B56">
        <w:t xml:space="preserve">В соответствии с Налоговым кодексом Российской Федерации, Уставом муниципального образования </w:t>
      </w:r>
      <w:proofErr w:type="spellStart"/>
      <w:r w:rsidRPr="00AF7B56">
        <w:t>Ловозерский</w:t>
      </w:r>
      <w:proofErr w:type="spellEnd"/>
      <w:r w:rsidRPr="00AF7B56">
        <w:t xml:space="preserve"> район </w:t>
      </w:r>
      <w:proofErr w:type="spellStart"/>
      <w:r w:rsidRPr="00AF7B56">
        <w:t>Ловозерский</w:t>
      </w:r>
      <w:proofErr w:type="spellEnd"/>
      <w:r w:rsidRPr="00AF7B56">
        <w:t xml:space="preserve"> районный Совет (седьмое заседание третьего созыва) решил: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 xml:space="preserve">1. Ввести на территории </w:t>
      </w:r>
      <w:proofErr w:type="spellStart"/>
      <w:r w:rsidRPr="00AF7B56">
        <w:t>Ловозерского</w:t>
      </w:r>
      <w:proofErr w:type="spellEnd"/>
      <w:r w:rsidRPr="00AF7B56">
        <w:t xml:space="preserve"> района Мурманской области систему налогообложения в виде Единого налога на вмененный доход для отдельных видов деятельности.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bookmarkStart w:id="1" w:name="P20"/>
      <w:bookmarkEnd w:id="1"/>
      <w:r w:rsidRPr="00AF7B56">
        <w:t>2. Система налогообложения в виде Единого налога на вмененный доход для отдельных видов деятельности (далее в настоящем решении - Единый налог) применяется в отношении следующих видов предпринимательской деятельности: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услугам;</w:t>
      </w:r>
    </w:p>
    <w:p w:rsidR="00C6452D" w:rsidRPr="00AF7B56" w:rsidRDefault="00C6452D">
      <w:pPr>
        <w:pStyle w:val="ConsPlusNormal"/>
        <w:jc w:val="both"/>
      </w:pPr>
      <w:r w:rsidRPr="00AF7B56">
        <w:t xml:space="preserve">(подп. 1 в ред. решения Совета депутатов </w:t>
      </w:r>
      <w:proofErr w:type="spellStart"/>
      <w:r w:rsidRPr="00AF7B56">
        <w:t>Ловозерского</w:t>
      </w:r>
      <w:proofErr w:type="spellEnd"/>
      <w:r w:rsidRPr="00AF7B56">
        <w:t xml:space="preserve"> района от 22.12.2016 N 205)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2) оказания ветеринарных услуг;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3) оказания услуг по ремонту, техническому обслуживанию и мойке автотранспортных средств;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C6452D" w:rsidRPr="00AF7B56" w:rsidRDefault="00C6452D">
      <w:pPr>
        <w:pStyle w:val="ConsPlusNormal"/>
        <w:jc w:val="both"/>
      </w:pPr>
      <w:r w:rsidRPr="00AF7B56">
        <w:t xml:space="preserve">(подп. 4 в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AF7B56">
        <w:t xml:space="preserve"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</w:t>
      </w:r>
      <w:r w:rsidRPr="00AF7B56">
        <w:lastRenderedPageBreak/>
        <w:t>налог не применяется;</w:t>
      </w:r>
      <w:proofErr w:type="gramEnd"/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6452D" w:rsidRPr="00AF7B56" w:rsidRDefault="00C6452D">
      <w:pPr>
        <w:pStyle w:val="ConsPlusNormal"/>
        <w:jc w:val="both"/>
      </w:pPr>
      <w:r w:rsidRPr="00AF7B56">
        <w:t xml:space="preserve">(в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AF7B56"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10) распространения наружной рекламы с использованием рекламных конструкций;</w:t>
      </w:r>
    </w:p>
    <w:p w:rsidR="00C6452D" w:rsidRPr="00AF7B56" w:rsidRDefault="00C6452D">
      <w:pPr>
        <w:pStyle w:val="ConsPlusNormal"/>
        <w:jc w:val="both"/>
      </w:pPr>
      <w:r w:rsidRPr="00AF7B56">
        <w:t xml:space="preserve">(подп. 10 в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11) размещения рекламы на транспортных средствах;</w:t>
      </w:r>
    </w:p>
    <w:p w:rsidR="00C6452D" w:rsidRPr="00AF7B56" w:rsidRDefault="00C6452D">
      <w:pPr>
        <w:pStyle w:val="ConsPlusNormal"/>
        <w:jc w:val="both"/>
      </w:pPr>
      <w:r w:rsidRPr="00AF7B56">
        <w:t xml:space="preserve">(подп. 11 в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6452D" w:rsidRPr="00AF7B56" w:rsidRDefault="00C6452D">
      <w:pPr>
        <w:pStyle w:val="ConsPlusNormal"/>
        <w:jc w:val="both"/>
      </w:pPr>
      <w:r w:rsidRPr="00AF7B56">
        <w:t xml:space="preserve">(в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6452D" w:rsidRPr="00AF7B56" w:rsidRDefault="00C6452D">
      <w:pPr>
        <w:pStyle w:val="ConsPlusNormal"/>
        <w:jc w:val="both"/>
      </w:pPr>
      <w:r w:rsidRPr="00AF7B56">
        <w:t xml:space="preserve">(подп. 13 в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6452D" w:rsidRPr="00AF7B56" w:rsidRDefault="00C6452D">
      <w:pPr>
        <w:pStyle w:val="ConsPlusNormal"/>
        <w:jc w:val="both"/>
      </w:pPr>
      <w:r w:rsidRPr="00AF7B56">
        <w:t xml:space="preserve">(подп. 14 </w:t>
      </w:r>
      <w:proofErr w:type="gramStart"/>
      <w:r w:rsidRPr="00AF7B56">
        <w:t>введен</w:t>
      </w:r>
      <w:proofErr w:type="gramEnd"/>
      <w:r w:rsidRPr="00AF7B56">
        <w:t xml:space="preserve"> решением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 xml:space="preserve">2.1. </w:t>
      </w:r>
      <w:proofErr w:type="gramStart"/>
      <w:r w:rsidRPr="00AF7B56">
        <w:t>Единый налог не применяется в отношении видов предпринимательской деятельности, указанных в пункте 2 настоящей статьи,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крупнейших, в соответствии со статьей 83 Налогового кодекса Российской Федерации.</w:t>
      </w:r>
      <w:proofErr w:type="gramEnd"/>
    </w:p>
    <w:p w:rsidR="00C6452D" w:rsidRPr="00AF7B56" w:rsidRDefault="00C6452D">
      <w:pPr>
        <w:pStyle w:val="ConsPlusNormal"/>
        <w:jc w:val="both"/>
      </w:pPr>
      <w:r w:rsidRPr="00AF7B56">
        <w:t>(</w:t>
      </w:r>
      <w:proofErr w:type="gramStart"/>
      <w:r w:rsidRPr="00AF7B56">
        <w:t>в</w:t>
      </w:r>
      <w:proofErr w:type="gramEnd"/>
      <w:r w:rsidRPr="00AF7B56">
        <w:t xml:space="preserve">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21.11.2008 N 305)</w:t>
      </w:r>
    </w:p>
    <w:p w:rsidR="00C6452D" w:rsidRPr="00AF7B56" w:rsidRDefault="00C64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452D" w:rsidRPr="00AF7B56" w:rsidRDefault="00C6452D">
      <w:pPr>
        <w:pStyle w:val="ConsPlusNormal"/>
        <w:ind w:firstLine="540"/>
        <w:jc w:val="both"/>
      </w:pPr>
      <w:r w:rsidRPr="00AF7B56">
        <w:t>Нумерация пунктов дана в соответствии с официальным текстом документа.</w:t>
      </w:r>
    </w:p>
    <w:p w:rsidR="00C6452D" w:rsidRPr="00AF7B56" w:rsidRDefault="00C64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452D" w:rsidRPr="00AF7B56" w:rsidRDefault="00C6452D">
      <w:pPr>
        <w:pStyle w:val="ConsPlusNormal"/>
        <w:ind w:firstLine="540"/>
        <w:jc w:val="both"/>
      </w:pPr>
      <w:bookmarkStart w:id="2" w:name="P48"/>
      <w:bookmarkEnd w:id="2"/>
      <w:r w:rsidRPr="00AF7B56">
        <w:t>3.1. Ставка единого налога устанавливается в размере 13 процентов величины вмененного дохода.</w:t>
      </w:r>
    </w:p>
    <w:p w:rsidR="00C6452D" w:rsidRPr="00AF7B56" w:rsidRDefault="00C6452D">
      <w:pPr>
        <w:pStyle w:val="ConsPlusNormal"/>
        <w:jc w:val="both"/>
      </w:pPr>
      <w:r w:rsidRPr="00AF7B56">
        <w:t>(</w:t>
      </w:r>
      <w:proofErr w:type="gramStart"/>
      <w:r w:rsidRPr="00AF7B56">
        <w:t>п</w:t>
      </w:r>
      <w:proofErr w:type="gramEnd"/>
      <w:r w:rsidRPr="00AF7B56">
        <w:t xml:space="preserve">. 3.1 в ред. решения Совета депутатов </w:t>
      </w:r>
      <w:proofErr w:type="spellStart"/>
      <w:r w:rsidRPr="00AF7B56">
        <w:t>Ловозерского</w:t>
      </w:r>
      <w:proofErr w:type="spellEnd"/>
      <w:r w:rsidRPr="00AF7B56">
        <w:t xml:space="preserve"> района от 29.10.2015 N 128)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3.2. Установить значения корректирующего коэффициента базовой доходности К</w:t>
      </w:r>
      <w:proofErr w:type="gramStart"/>
      <w:r w:rsidRPr="00AF7B56">
        <w:t>2</w:t>
      </w:r>
      <w:proofErr w:type="gramEnd"/>
      <w:r w:rsidRPr="00AF7B56">
        <w:t xml:space="preserve"> согласно приложению N 1 к настоящему решению.</w:t>
      </w:r>
    </w:p>
    <w:p w:rsidR="00C6452D" w:rsidRPr="00AF7B56" w:rsidRDefault="00C6452D">
      <w:pPr>
        <w:pStyle w:val="ConsPlusNormal"/>
        <w:jc w:val="both"/>
      </w:pPr>
      <w:r w:rsidRPr="00AF7B56">
        <w:t>(</w:t>
      </w:r>
      <w:proofErr w:type="gramStart"/>
      <w:r w:rsidRPr="00AF7B56">
        <w:t>п</w:t>
      </w:r>
      <w:proofErr w:type="gramEnd"/>
      <w:r w:rsidRPr="00AF7B56">
        <w:t xml:space="preserve">. 3.2 в ред. решения Совета депутатов </w:t>
      </w:r>
      <w:proofErr w:type="spellStart"/>
      <w:r w:rsidRPr="00AF7B56">
        <w:t>Ловозерского</w:t>
      </w:r>
      <w:proofErr w:type="spellEnd"/>
      <w:r w:rsidRPr="00AF7B56">
        <w:t xml:space="preserve"> района от 29.10.2015 N 128)</w:t>
      </w:r>
    </w:p>
    <w:p w:rsidR="00C6452D" w:rsidRPr="00AF7B56" w:rsidRDefault="00C64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452D" w:rsidRPr="00AF7B56" w:rsidRDefault="00C6452D">
      <w:pPr>
        <w:pStyle w:val="ConsPlusNormal"/>
        <w:ind w:firstLine="540"/>
        <w:jc w:val="both"/>
      </w:pPr>
      <w:proofErr w:type="spellStart"/>
      <w:r w:rsidRPr="00AF7B56">
        <w:t>КонсультантПлюс</w:t>
      </w:r>
      <w:proofErr w:type="spellEnd"/>
      <w:r w:rsidRPr="00AF7B56">
        <w:t>: примечание.</w:t>
      </w:r>
    </w:p>
    <w:p w:rsidR="00C6452D" w:rsidRPr="00AF7B56" w:rsidRDefault="00C6452D">
      <w:pPr>
        <w:pStyle w:val="ConsPlusNormal"/>
        <w:ind w:firstLine="540"/>
        <w:jc w:val="both"/>
      </w:pPr>
      <w:r w:rsidRPr="00AF7B56">
        <w:t>В официальном тексте документа, видимо, допущена опечатка: имеется в виду пункт 3 настоящего решения, а не пункт 1 настоящей статьи.</w:t>
      </w:r>
    </w:p>
    <w:p w:rsidR="00C6452D" w:rsidRPr="00AF7B56" w:rsidRDefault="00C64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452D" w:rsidRPr="00AF7B56" w:rsidRDefault="00C6452D">
      <w:pPr>
        <w:pStyle w:val="ConsPlusNormal"/>
        <w:ind w:firstLine="540"/>
        <w:jc w:val="both"/>
      </w:pPr>
      <w:r w:rsidRPr="00AF7B56">
        <w:t>4. Значения коэффициента К</w:t>
      </w:r>
      <w:proofErr w:type="gramStart"/>
      <w:r w:rsidRPr="00AF7B56">
        <w:t>2</w:t>
      </w:r>
      <w:proofErr w:type="gramEnd"/>
      <w:r w:rsidRPr="00AF7B56">
        <w:t xml:space="preserve"> установлены в приложении N 1 (публикуется в следующих номерах "ЛП") к настоящему решению для соответствующей зоны, в которой расположен объект торговли или место оказания услуг, перечисленных в пункте 1 настоящей статьи.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В случае отсутствия определенного места осуществления торговли или оказания услуг, перечисленных в пункте 1 настоящей статьи, коэффициент К</w:t>
      </w:r>
      <w:proofErr w:type="gramStart"/>
      <w:r w:rsidRPr="00AF7B56">
        <w:t>2</w:t>
      </w:r>
      <w:proofErr w:type="gramEnd"/>
      <w:r w:rsidRPr="00AF7B56">
        <w:t xml:space="preserve"> устанавливается по зоне N 1.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5. Установить значения корректирующего коэффициента базовой доходности К</w:t>
      </w:r>
      <w:proofErr w:type="gramStart"/>
      <w:r w:rsidRPr="00AF7B56">
        <w:t>2</w:t>
      </w:r>
      <w:proofErr w:type="gramEnd"/>
      <w:r w:rsidRPr="00AF7B56">
        <w:t xml:space="preserve"> для вида предпринимательской деятельности -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- 0,276 на всей территории </w:t>
      </w:r>
      <w:proofErr w:type="spellStart"/>
      <w:r w:rsidRPr="00AF7B56">
        <w:t>Ловозерского</w:t>
      </w:r>
      <w:proofErr w:type="spellEnd"/>
      <w:r w:rsidRPr="00AF7B56">
        <w:t xml:space="preserve"> района Мурманской области.</w:t>
      </w:r>
    </w:p>
    <w:p w:rsidR="00C6452D" w:rsidRPr="00AF7B56" w:rsidRDefault="00C6452D">
      <w:pPr>
        <w:pStyle w:val="ConsPlusNormal"/>
        <w:jc w:val="both"/>
      </w:pPr>
      <w:r w:rsidRPr="00AF7B56">
        <w:t>(</w:t>
      </w:r>
      <w:proofErr w:type="gramStart"/>
      <w:r w:rsidRPr="00AF7B56">
        <w:t>п</w:t>
      </w:r>
      <w:proofErr w:type="gramEnd"/>
      <w:r w:rsidRPr="00AF7B56">
        <w:t xml:space="preserve">. 5 в ред. решения Совета депутатов </w:t>
      </w:r>
      <w:proofErr w:type="spellStart"/>
      <w:r w:rsidRPr="00AF7B56">
        <w:t>Ловозерского</w:t>
      </w:r>
      <w:proofErr w:type="spellEnd"/>
      <w:r w:rsidRPr="00AF7B56">
        <w:t xml:space="preserve"> района от 29.10.2015 N 128)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6. Установить значение коэффициента К</w:t>
      </w:r>
      <w:proofErr w:type="gramStart"/>
      <w:r w:rsidRPr="00AF7B56">
        <w:t>2</w:t>
      </w:r>
      <w:proofErr w:type="gramEnd"/>
      <w:r w:rsidRPr="00AF7B56">
        <w:t xml:space="preserve">, равное 0,09, на всей территории </w:t>
      </w:r>
      <w:proofErr w:type="spellStart"/>
      <w:r w:rsidRPr="00AF7B56">
        <w:t>Ловозерского</w:t>
      </w:r>
      <w:proofErr w:type="spellEnd"/>
      <w:r w:rsidRPr="00AF7B56">
        <w:t xml:space="preserve"> района Мурманской области для вида предпринимательской деятельности по оказанию бытовых услуг по прокату.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7. Установить значения корректирующего коэффициента базовой доходности К</w:t>
      </w:r>
      <w:proofErr w:type="gramStart"/>
      <w:r w:rsidRPr="00AF7B56">
        <w:t>2</w:t>
      </w:r>
      <w:proofErr w:type="gramEnd"/>
      <w:r w:rsidRPr="00AF7B56">
        <w:t xml:space="preserve">, равное 0,203 на всей территории </w:t>
      </w:r>
      <w:proofErr w:type="spellStart"/>
      <w:r w:rsidRPr="00AF7B56">
        <w:t>Ловозерского</w:t>
      </w:r>
      <w:proofErr w:type="spellEnd"/>
      <w:r w:rsidRPr="00AF7B56">
        <w:t xml:space="preserve"> района Мурманской области для вида предпринимательской деятельности по оказанию автотранспортных услуг по перевозке грузов транспортными средствами грузоподъемностью свыше 3,5 тонн и перевозке пассажиров автобусами по регулярным междугородным маршрутам.</w:t>
      </w:r>
    </w:p>
    <w:p w:rsidR="00C6452D" w:rsidRPr="00AF7B56" w:rsidRDefault="00C6452D">
      <w:pPr>
        <w:pStyle w:val="ConsPlusNormal"/>
        <w:jc w:val="both"/>
      </w:pPr>
      <w:r w:rsidRPr="00AF7B56">
        <w:t>(</w:t>
      </w:r>
      <w:proofErr w:type="gramStart"/>
      <w:r w:rsidRPr="00AF7B56">
        <w:t>п</w:t>
      </w:r>
      <w:proofErr w:type="gramEnd"/>
      <w:r w:rsidRPr="00AF7B56">
        <w:t xml:space="preserve">. 7 в ред. решения </w:t>
      </w:r>
      <w:proofErr w:type="spellStart"/>
      <w:r w:rsidRPr="00AF7B56">
        <w:t>Ловозерского</w:t>
      </w:r>
      <w:proofErr w:type="spellEnd"/>
      <w:r w:rsidRPr="00AF7B56">
        <w:t xml:space="preserve"> районного Совета от 29.09.2009 N 357)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8. Настоящее решение вступает в силу с 1 января 2006 года.</w:t>
      </w: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jc w:val="right"/>
      </w:pPr>
      <w:r w:rsidRPr="00AF7B56">
        <w:t>Глава</w:t>
      </w:r>
    </w:p>
    <w:p w:rsidR="00C6452D" w:rsidRPr="00AF7B56" w:rsidRDefault="00C6452D">
      <w:pPr>
        <w:pStyle w:val="ConsPlusNormal"/>
        <w:jc w:val="right"/>
      </w:pPr>
      <w:r w:rsidRPr="00AF7B56">
        <w:t>муниципального образования</w:t>
      </w:r>
    </w:p>
    <w:p w:rsidR="00C6452D" w:rsidRPr="00AF7B56" w:rsidRDefault="00C6452D">
      <w:pPr>
        <w:pStyle w:val="ConsPlusNormal"/>
        <w:jc w:val="right"/>
      </w:pPr>
      <w:proofErr w:type="spellStart"/>
      <w:r w:rsidRPr="00AF7B56">
        <w:t>Ловозерский</w:t>
      </w:r>
      <w:proofErr w:type="spellEnd"/>
      <w:r w:rsidRPr="00AF7B56">
        <w:t xml:space="preserve"> район</w:t>
      </w:r>
    </w:p>
    <w:p w:rsidR="00C6452D" w:rsidRPr="00AF7B56" w:rsidRDefault="00C6452D">
      <w:pPr>
        <w:pStyle w:val="ConsPlusNormal"/>
        <w:jc w:val="right"/>
      </w:pPr>
      <w:r w:rsidRPr="00AF7B56">
        <w:t>Н.П.РЯБЧИКОВА</w:t>
      </w: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jc w:val="right"/>
        <w:outlineLvl w:val="0"/>
      </w:pPr>
      <w:bookmarkStart w:id="3" w:name="P74"/>
      <w:bookmarkEnd w:id="3"/>
      <w:r w:rsidRPr="00AF7B56">
        <w:t>Приложение N 1</w:t>
      </w:r>
    </w:p>
    <w:p w:rsidR="00C6452D" w:rsidRPr="00AF7B56" w:rsidRDefault="00C6452D">
      <w:pPr>
        <w:pStyle w:val="ConsPlusNormal"/>
        <w:jc w:val="right"/>
      </w:pPr>
      <w:r w:rsidRPr="00AF7B56">
        <w:t>к решению</w:t>
      </w:r>
    </w:p>
    <w:p w:rsidR="00C6452D" w:rsidRPr="00AF7B56" w:rsidRDefault="00C6452D">
      <w:pPr>
        <w:pStyle w:val="ConsPlusNormal"/>
        <w:jc w:val="right"/>
      </w:pPr>
      <w:proofErr w:type="spellStart"/>
      <w:r w:rsidRPr="00AF7B56">
        <w:t>Ловозерского</w:t>
      </w:r>
      <w:proofErr w:type="spellEnd"/>
      <w:r w:rsidRPr="00AF7B56">
        <w:t xml:space="preserve"> районного Совета</w:t>
      </w:r>
    </w:p>
    <w:p w:rsidR="00C6452D" w:rsidRPr="00AF7B56" w:rsidRDefault="00C6452D">
      <w:pPr>
        <w:pStyle w:val="ConsPlusNormal"/>
        <w:jc w:val="right"/>
      </w:pPr>
      <w:r w:rsidRPr="00AF7B56">
        <w:t>от 17 ноября 2005 г. N 47</w:t>
      </w:r>
    </w:p>
    <w:p w:rsidR="00C6452D" w:rsidRPr="00AF7B56" w:rsidRDefault="00C6452D">
      <w:pPr>
        <w:pStyle w:val="ConsPlusNormal"/>
        <w:jc w:val="right"/>
      </w:pPr>
    </w:p>
    <w:p w:rsidR="00C6452D" w:rsidRPr="00AF7B56" w:rsidRDefault="00C6452D">
      <w:pPr>
        <w:pStyle w:val="ConsPlusNormal"/>
        <w:jc w:val="right"/>
      </w:pPr>
      <w:r w:rsidRPr="00AF7B56">
        <w:t>Список изменяющих документов</w:t>
      </w:r>
    </w:p>
    <w:p w:rsidR="00C6452D" w:rsidRPr="00AF7B56" w:rsidRDefault="00C6452D">
      <w:pPr>
        <w:pStyle w:val="ConsPlusNormal"/>
        <w:jc w:val="right"/>
      </w:pPr>
      <w:proofErr w:type="gramStart"/>
      <w:r w:rsidRPr="00AF7B56">
        <w:t xml:space="preserve">(в ред. решения Совета депутатов </w:t>
      </w:r>
      <w:proofErr w:type="spellStart"/>
      <w:r w:rsidRPr="00AF7B56">
        <w:t>Ловозерского</w:t>
      </w:r>
      <w:proofErr w:type="spellEnd"/>
      <w:r w:rsidRPr="00AF7B56">
        <w:t xml:space="preserve"> района</w:t>
      </w:r>
      <w:proofErr w:type="gramEnd"/>
    </w:p>
    <w:p w:rsidR="00C6452D" w:rsidRPr="00AF7B56" w:rsidRDefault="00C6452D">
      <w:pPr>
        <w:pStyle w:val="ConsPlusNormal"/>
        <w:jc w:val="right"/>
      </w:pPr>
      <w:r w:rsidRPr="00AF7B56">
        <w:t>от 29.10.2015 N 128)</w:t>
      </w: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ind w:firstLine="540"/>
        <w:jc w:val="both"/>
      </w:pPr>
      <w:r w:rsidRPr="00AF7B56">
        <w:t>Зона 1: с. Ловозеро.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r w:rsidRPr="00AF7B56">
        <w:t>Зона 2: п.г.т. Ревда.</w:t>
      </w:r>
    </w:p>
    <w:p w:rsidR="00C6452D" w:rsidRPr="00AF7B56" w:rsidRDefault="00C6452D">
      <w:pPr>
        <w:pStyle w:val="ConsPlusNormal"/>
        <w:spacing w:before="220"/>
        <w:ind w:firstLine="540"/>
        <w:jc w:val="both"/>
      </w:pPr>
      <w:proofErr w:type="gramStart"/>
      <w:r w:rsidRPr="00AF7B56">
        <w:t xml:space="preserve">Зона 3: с. Сосновка, с. Краснощелье, с. </w:t>
      </w:r>
      <w:proofErr w:type="spellStart"/>
      <w:r w:rsidRPr="00AF7B56">
        <w:t>Каневка</w:t>
      </w:r>
      <w:proofErr w:type="spellEnd"/>
      <w:r w:rsidRPr="00AF7B56">
        <w:t>.</w:t>
      </w:r>
      <w:proofErr w:type="gramEnd"/>
    </w:p>
    <w:p w:rsidR="00C6452D" w:rsidRPr="00AF7B56" w:rsidRDefault="00C6452D">
      <w:pPr>
        <w:sectPr w:rsidR="00C6452D" w:rsidRPr="00AF7B56" w:rsidSect="002617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452D" w:rsidRPr="00AF7B56" w:rsidRDefault="00C645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80"/>
        <w:gridCol w:w="5896"/>
        <w:gridCol w:w="850"/>
        <w:gridCol w:w="850"/>
        <w:gridCol w:w="850"/>
      </w:tblGrid>
      <w:tr w:rsidR="00C6452D" w:rsidRPr="00AF7B56">
        <w:tc>
          <w:tcPr>
            <w:tcW w:w="454" w:type="dxa"/>
            <w:vAlign w:val="center"/>
          </w:tcPr>
          <w:p w:rsidR="00C6452D" w:rsidRPr="00AF7B56" w:rsidRDefault="00C6452D">
            <w:pPr>
              <w:pStyle w:val="ConsPlusNormal"/>
              <w:jc w:val="center"/>
            </w:pPr>
            <w:r w:rsidRPr="00AF7B56">
              <w:t>N</w:t>
            </w:r>
          </w:p>
        </w:tc>
        <w:tc>
          <w:tcPr>
            <w:tcW w:w="6576" w:type="dxa"/>
            <w:gridSpan w:val="2"/>
            <w:vAlign w:val="center"/>
          </w:tcPr>
          <w:p w:rsidR="00C6452D" w:rsidRPr="00AF7B56" w:rsidRDefault="00C6452D">
            <w:pPr>
              <w:pStyle w:val="ConsPlusNormal"/>
              <w:jc w:val="center"/>
            </w:pPr>
            <w:r w:rsidRPr="00AF7B56">
              <w:t>Виды предпринимательской деятельности</w:t>
            </w:r>
          </w:p>
        </w:tc>
        <w:tc>
          <w:tcPr>
            <w:tcW w:w="850" w:type="dxa"/>
            <w:vAlign w:val="center"/>
          </w:tcPr>
          <w:p w:rsidR="00C6452D" w:rsidRPr="00AF7B56" w:rsidRDefault="00C6452D">
            <w:pPr>
              <w:pStyle w:val="ConsPlusNormal"/>
              <w:jc w:val="center"/>
            </w:pPr>
            <w:r w:rsidRPr="00AF7B56">
              <w:t>Зона 1</w:t>
            </w:r>
          </w:p>
        </w:tc>
        <w:tc>
          <w:tcPr>
            <w:tcW w:w="850" w:type="dxa"/>
            <w:vAlign w:val="center"/>
          </w:tcPr>
          <w:p w:rsidR="00C6452D" w:rsidRPr="00AF7B56" w:rsidRDefault="00C6452D">
            <w:pPr>
              <w:pStyle w:val="ConsPlusNormal"/>
              <w:jc w:val="center"/>
            </w:pPr>
            <w:r w:rsidRPr="00AF7B56">
              <w:t>Зона 2</w:t>
            </w:r>
          </w:p>
        </w:tc>
        <w:tc>
          <w:tcPr>
            <w:tcW w:w="850" w:type="dxa"/>
            <w:vAlign w:val="center"/>
          </w:tcPr>
          <w:p w:rsidR="00C6452D" w:rsidRPr="00AF7B56" w:rsidRDefault="00C6452D">
            <w:pPr>
              <w:pStyle w:val="ConsPlusNormal"/>
              <w:jc w:val="center"/>
            </w:pPr>
            <w:r w:rsidRPr="00AF7B56">
              <w:t>Зона 3</w:t>
            </w:r>
          </w:p>
        </w:tc>
      </w:tr>
      <w:tr w:rsidR="00C6452D" w:rsidRPr="00AF7B56">
        <w:tc>
          <w:tcPr>
            <w:tcW w:w="454" w:type="dxa"/>
            <w:vMerge w:val="restart"/>
          </w:tcPr>
          <w:p w:rsidR="00C6452D" w:rsidRPr="00AF7B56" w:rsidRDefault="00C6452D">
            <w:pPr>
              <w:pStyle w:val="ConsPlusNormal"/>
            </w:pPr>
            <w:r w:rsidRPr="00AF7B56">
              <w:t>1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Оказание бытовых услуг, за исключением услуг по прокату, в том числе: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</w:pP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1.1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ремонт, окраска и пошив обуви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0,176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1.2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0,352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0,352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0,176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1.3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ремонт и техническое обслуживание бытовой радиоэлектронной аппаратуры, бытовых машин и бытовых приборов ремонт и изготовление металлоизделий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0,545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0,545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1.4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изготовление и ремонт мебели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0,545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0,545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1.5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химическая чистка и крашение, услуги прачечных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0,320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0,320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1.6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ремонт и строительство жилья и других построек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0,609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0,609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1.7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0,642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0,642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1.8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услуги фотоателье и фот</w:t>
            </w:r>
            <w:proofErr w:type="gramStart"/>
            <w:r w:rsidRPr="00AF7B56">
              <w:t>о-</w:t>
            </w:r>
            <w:proofErr w:type="gramEnd"/>
            <w:r w:rsidRPr="00AF7B56">
              <w:t xml:space="preserve"> и кинолабораторий, транспортно-экспедиторские услуги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0,528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0,528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1.9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услуги бань и душевых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0,144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0,144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0,128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1.10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услуги парикмахерских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0,176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1.11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ритуальные услуги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0,306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0,306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0,128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1.12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другие виды бытовых услуг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lastRenderedPageBreak/>
              <w:t>2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Оказание ветеринарных услуг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0,384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0,384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0,112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3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0,609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0,609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0,112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4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0,739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0,739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0,193</w:t>
            </w:r>
          </w:p>
        </w:tc>
      </w:tr>
      <w:tr w:rsidR="00C6452D" w:rsidRPr="00AF7B56">
        <w:tc>
          <w:tcPr>
            <w:tcW w:w="454" w:type="dxa"/>
            <w:vMerge w:val="restart"/>
          </w:tcPr>
          <w:p w:rsidR="00C6452D" w:rsidRPr="00AF7B56" w:rsidRDefault="00C6452D">
            <w:pPr>
              <w:pStyle w:val="ConsPlusNormal"/>
            </w:pPr>
            <w:r w:rsidRPr="00AF7B56">
              <w:t>5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за исключением оказания автотранспортных услуг по перевозке грузов транспортными средствами грузоподъемностью свыше 3,5 т, в том числе: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</w:pP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5.1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по перевозке пассажиров легковыми таксомоторами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0,866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5.2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по перевозке автомобильным транспортом мелких и малотоннажных отправок транспортными средствами грузоподъемностью до 1,5 т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0,369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5.3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по перевозке автомобильным транспортом мелких и малотоннажных отправок транспортными средствами грузоподъемностью от 1,5 до 3,5 тонн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0,785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5.4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по перевозке пассажиров,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</w:tr>
      <w:tr w:rsidR="00C6452D" w:rsidRPr="00AF7B56">
        <w:tc>
          <w:tcPr>
            <w:tcW w:w="454" w:type="dxa"/>
            <w:vMerge w:val="restart"/>
          </w:tcPr>
          <w:p w:rsidR="00C6452D" w:rsidRPr="00AF7B56" w:rsidRDefault="00C6452D">
            <w:pPr>
              <w:pStyle w:val="ConsPlusNormal"/>
            </w:pPr>
            <w:r w:rsidRPr="00AF7B56">
              <w:t>6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 xml:space="preserve">Розничная торговля, осуществляемая через палатки, лотки и другие </w:t>
            </w:r>
            <w:r w:rsidRPr="00AF7B56">
              <w:lastRenderedPageBreak/>
              <w:t>объекты организации торговли (за исключением магазинов и павильонов), в том числе не имеющие стационарной торговой площади: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</w:pP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6.1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0,611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0,611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0,161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6.2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0,450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7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0,192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0,192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0,112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8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</w:tr>
      <w:tr w:rsidR="00C6452D" w:rsidRPr="00AF7B56">
        <w:tc>
          <w:tcPr>
            <w:tcW w:w="454" w:type="dxa"/>
            <w:vMerge w:val="restart"/>
          </w:tcPr>
          <w:p w:rsidR="00C6452D" w:rsidRPr="00AF7B56" w:rsidRDefault="00C6452D">
            <w:pPr>
              <w:pStyle w:val="ConsPlusNormal"/>
            </w:pPr>
            <w:r w:rsidRPr="00AF7B56">
              <w:t>9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</w:pPr>
            <w:r w:rsidRPr="00AF7B56">
              <w:t>Распространение наружной рекламы</w:t>
            </w:r>
          </w:p>
        </w:tc>
        <w:tc>
          <w:tcPr>
            <w:tcW w:w="2550" w:type="dxa"/>
            <w:gridSpan w:val="3"/>
          </w:tcPr>
          <w:p w:rsidR="00C6452D" w:rsidRPr="00AF7B56" w:rsidRDefault="00C6452D">
            <w:pPr>
              <w:pStyle w:val="ConsPlusNormal"/>
            </w:pP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9.1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</w:pPr>
            <w:r w:rsidRPr="00AF7B5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0,482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</w:tcPr>
          <w:p w:rsidR="00C6452D" w:rsidRPr="00AF7B56" w:rsidRDefault="00C6452D">
            <w:pPr>
              <w:pStyle w:val="ConsPlusNormal"/>
            </w:pPr>
            <w:r w:rsidRPr="00AF7B56">
              <w:t>9.2</w:t>
            </w:r>
          </w:p>
        </w:tc>
        <w:tc>
          <w:tcPr>
            <w:tcW w:w="5896" w:type="dxa"/>
          </w:tcPr>
          <w:p w:rsidR="00C6452D" w:rsidRPr="00AF7B56" w:rsidRDefault="00C6452D">
            <w:pPr>
              <w:pStyle w:val="ConsPlusNormal"/>
              <w:ind w:firstLine="4"/>
            </w:pPr>
            <w:r w:rsidRPr="00AF7B5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0,642</w:t>
            </w:r>
          </w:p>
        </w:tc>
      </w:tr>
      <w:tr w:rsidR="00C6452D" w:rsidRPr="00AF7B56">
        <w:tc>
          <w:tcPr>
            <w:tcW w:w="454" w:type="dxa"/>
            <w:vMerge/>
          </w:tcPr>
          <w:p w:rsidR="00C6452D" w:rsidRPr="00AF7B56" w:rsidRDefault="00C6452D"/>
        </w:tc>
        <w:tc>
          <w:tcPr>
            <w:tcW w:w="680" w:type="dxa"/>
            <w:vAlign w:val="bottom"/>
          </w:tcPr>
          <w:p w:rsidR="00C6452D" w:rsidRPr="00AF7B56" w:rsidRDefault="00C6452D">
            <w:pPr>
              <w:pStyle w:val="ConsPlusNormal"/>
              <w:jc w:val="center"/>
            </w:pPr>
            <w:r w:rsidRPr="00AF7B56">
              <w:t>9.3</w:t>
            </w:r>
          </w:p>
        </w:tc>
        <w:tc>
          <w:tcPr>
            <w:tcW w:w="5896" w:type="dxa"/>
            <w:vAlign w:val="bottom"/>
          </w:tcPr>
          <w:p w:rsidR="00C6452D" w:rsidRPr="00AF7B56" w:rsidRDefault="00C6452D">
            <w:pPr>
              <w:pStyle w:val="ConsPlusNormal"/>
              <w:ind w:left="41" w:firstLine="1"/>
            </w:pPr>
            <w:r w:rsidRPr="00AF7B56">
              <w:t>распространение наружной рекламы посредством электронных табло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0,850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0,528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10</w:t>
            </w:r>
          </w:p>
        </w:tc>
        <w:tc>
          <w:tcPr>
            <w:tcW w:w="6576" w:type="dxa"/>
            <w:gridSpan w:val="2"/>
            <w:vAlign w:val="bottom"/>
          </w:tcPr>
          <w:p w:rsidR="00C6452D" w:rsidRPr="00AF7B56" w:rsidRDefault="00C6452D">
            <w:pPr>
              <w:pStyle w:val="ConsPlusNormal"/>
            </w:pPr>
            <w:r w:rsidRPr="00AF7B56">
              <w:t>Размещение рекламы на транспортных средствах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0,225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0,225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0,111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11</w:t>
            </w:r>
          </w:p>
        </w:tc>
        <w:tc>
          <w:tcPr>
            <w:tcW w:w="6576" w:type="dxa"/>
            <w:gridSpan w:val="2"/>
            <w:vAlign w:val="bottom"/>
          </w:tcPr>
          <w:p w:rsidR="00C6452D" w:rsidRPr="00AF7B56" w:rsidRDefault="00C6452D">
            <w:pPr>
              <w:pStyle w:val="ConsPlusNormal"/>
            </w:pPr>
            <w:r w:rsidRPr="00AF7B56">
              <w:t>Оказание услуг по временному размещению и проживанию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0,225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0,225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0,111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12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  <w:jc w:val="both"/>
            </w:pPr>
            <w:r w:rsidRPr="00AF7B5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1,000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0,736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13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  <w:jc w:val="both"/>
            </w:pPr>
            <w:r w:rsidRPr="00AF7B5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0,801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0,801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0,482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14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  <w:jc w:val="both"/>
            </w:pPr>
            <w:r w:rsidRPr="00AF7B5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0,883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0,883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0,561</w:t>
            </w:r>
          </w:p>
        </w:tc>
      </w:tr>
      <w:tr w:rsidR="00C6452D" w:rsidRPr="00AF7B56">
        <w:tc>
          <w:tcPr>
            <w:tcW w:w="454" w:type="dxa"/>
          </w:tcPr>
          <w:p w:rsidR="00C6452D" w:rsidRPr="00AF7B56" w:rsidRDefault="00C6452D">
            <w:pPr>
              <w:pStyle w:val="ConsPlusNormal"/>
            </w:pPr>
            <w:r w:rsidRPr="00AF7B56">
              <w:t>15</w:t>
            </w:r>
          </w:p>
        </w:tc>
        <w:tc>
          <w:tcPr>
            <w:tcW w:w="6576" w:type="dxa"/>
            <w:gridSpan w:val="2"/>
          </w:tcPr>
          <w:p w:rsidR="00C6452D" w:rsidRPr="00AF7B56" w:rsidRDefault="00C6452D">
            <w:pPr>
              <w:pStyle w:val="ConsPlusNormal"/>
              <w:jc w:val="both"/>
            </w:pPr>
            <w:r w:rsidRPr="00AF7B5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0,578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0,578</w:t>
            </w:r>
          </w:p>
        </w:tc>
        <w:tc>
          <w:tcPr>
            <w:tcW w:w="850" w:type="dxa"/>
          </w:tcPr>
          <w:p w:rsidR="00C6452D" w:rsidRPr="00AF7B56" w:rsidRDefault="00C6452D">
            <w:pPr>
              <w:pStyle w:val="ConsPlusNormal"/>
              <w:jc w:val="right"/>
            </w:pPr>
            <w:r w:rsidRPr="00AF7B56">
              <w:t>0,466</w:t>
            </w:r>
          </w:p>
        </w:tc>
      </w:tr>
    </w:tbl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jc w:val="both"/>
      </w:pPr>
    </w:p>
    <w:p w:rsidR="00C6452D" w:rsidRPr="00AF7B56" w:rsidRDefault="00C645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AF7B56" w:rsidRDefault="00AF7B56"/>
    <w:sectPr w:rsidR="00C41C27" w:rsidRPr="00AF7B56" w:rsidSect="009F1B0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52D"/>
    <w:rsid w:val="00322314"/>
    <w:rsid w:val="00AF7B56"/>
    <w:rsid w:val="00C6452D"/>
    <w:rsid w:val="00D0075E"/>
    <w:rsid w:val="00DF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4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45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2017-08-07T14:32:00Z</dcterms:created>
  <dcterms:modified xsi:type="dcterms:W3CDTF">2017-08-07T14:32:00Z</dcterms:modified>
</cp:coreProperties>
</file>