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450019">
      <w:bookmarkStart w:id="0" w:name="_GoBack"/>
      <w:r>
        <w:rPr>
          <w:noProof/>
        </w:rPr>
        <w:drawing>
          <wp:inline distT="0" distB="0" distL="0" distR="0">
            <wp:extent cx="9610725" cy="640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17439" w:rsidSect="00450019">
      <w:pgSz w:w="16838" w:h="11906" w:orient="landscape"/>
      <w:pgMar w:top="851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19"/>
    <w:rsid w:val="00317439"/>
    <w:rsid w:val="00450019"/>
    <w:rsid w:val="00552B56"/>
    <w:rsid w:val="00A57CBC"/>
    <w:rsid w:val="00AE0B48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500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5001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500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5001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УФНС</a:t>
            </a:r>
            <a:r>
              <a:rPr lang="ru-RU" sz="1400" baseline="0"/>
              <a:t> России</a:t>
            </a:r>
            <a:r>
              <a:rPr lang="ru-RU" sz="1400"/>
              <a:t/>
            </a:r>
            <a:br>
              <a:rPr lang="ru-RU" sz="1400"/>
            </a:br>
            <a:r>
              <a:rPr lang="ru-RU" sz="1400"/>
              <a:t> по Мурманской</a:t>
            </a:r>
            <a:r>
              <a:rPr lang="ru-RU" sz="1400" baseline="0"/>
              <a:t> области в 1 квартале 2019 года, по тематике вопроса</a:t>
            </a:r>
            <a:endParaRPr lang="ru-RU" sz="1400"/>
          </a:p>
        </c:rich>
      </c:tx>
      <c:layout/>
    </c:title>
    <c:plotArea>
      <c:layout>
        <c:manualLayout>
          <c:layoutTarget val="inner"/>
          <c:xMode val="edge"/>
          <c:yMode val="edge"/>
          <c:x val="3.9400720135666492E-2"/>
          <c:y val="8.9905017478196431E-2"/>
          <c:w val="0.71652170019821804"/>
          <c:h val="0.8872855242870425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66CC"/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3"/>
            <c:spPr>
              <a:solidFill>
                <a:srgbClr val="FFCC00"/>
              </a:solidFill>
            </c:spPr>
          </c:dPt>
          <c:dPt>
            <c:idx val="4"/>
            <c:spPr>
              <a:solidFill>
                <a:srgbClr val="0000FF"/>
              </a:solidFill>
            </c:spPr>
          </c:dPt>
          <c:dPt>
            <c:idx val="5"/>
            <c:spPr>
              <a:solidFill>
                <a:srgbClr val="FF6600"/>
              </a:solidFill>
            </c:spPr>
          </c:dPt>
          <c:dPt>
            <c:idx val="6"/>
            <c:spPr>
              <a:solidFill>
                <a:srgbClr val="009900"/>
              </a:solidFill>
            </c:spPr>
          </c:dPt>
          <c:dPt>
            <c:idx val="7"/>
            <c:spPr>
              <a:solidFill>
                <a:srgbClr val="CC0066"/>
              </a:solidFill>
            </c:spPr>
          </c:dPt>
          <c:dPt>
            <c:idx val="8"/>
            <c:spPr>
              <a:solidFill>
                <a:srgbClr val="0099CC"/>
              </a:solidFill>
            </c:spPr>
          </c:dPt>
          <c:dPt>
            <c:idx val="9"/>
            <c:spPr>
              <a:solidFill>
                <a:srgbClr val="006666"/>
              </a:solidFill>
            </c:spPr>
          </c:dPt>
          <c:dPt>
            <c:idx val="10"/>
            <c:spPr>
              <a:solidFill>
                <a:srgbClr val="660066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Лист1!$B$52:$B$62</c:f>
              <c:strCache>
                <c:ptCount val="11"/>
                <c:pt idx="0">
                  <c:v>Жалобы</c:v>
                </c:pt>
                <c:pt idx="1">
                  <c:v>Транспортный налог</c:v>
                </c:pt>
                <c:pt idx="2">
                  <c:v>Налог на имущество и земельный налог</c:v>
                </c:pt>
                <c:pt idx="3">
                  <c:v>Налог на доходы физических лиц</c:v>
                </c:pt>
                <c:pt idx="4">
                  <c:v>Налогообложение малого бизнеса</c:v>
                </c:pt>
                <c:pt idx="5">
                  <c:v>Задолженность</c:v>
                </c:pt>
                <c:pt idx="6">
                  <c:v>Государственная регистрация</c:v>
                </c:pt>
                <c:pt idx="7">
                  <c:v>Учет налогоплательщиков</c:v>
                </c:pt>
                <c:pt idx="8">
                  <c:v>Регистрация ККТ</c:v>
                </c:pt>
                <c:pt idx="9">
                  <c:v>Контроль исполнения налогового законодательства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33</c:v>
                </c:pt>
                <c:pt idx="1">
                  <c:v>13</c:v>
                </c:pt>
                <c:pt idx="2">
                  <c:v>9</c:v>
                </c:pt>
                <c:pt idx="3">
                  <c:v>27</c:v>
                </c:pt>
                <c:pt idx="4">
                  <c:v>12</c:v>
                </c:pt>
                <c:pt idx="5">
                  <c:v>44</c:v>
                </c:pt>
                <c:pt idx="6">
                  <c:v>20</c:v>
                </c:pt>
                <c:pt idx="7">
                  <c:v>12</c:v>
                </c:pt>
                <c:pt idx="8">
                  <c:v>6</c:v>
                </c:pt>
                <c:pt idx="9">
                  <c:v>39</c:v>
                </c:pt>
                <c:pt idx="10">
                  <c:v>37</c:v>
                </c:pt>
              </c:numCache>
            </c:numRef>
          </c:val>
        </c:ser>
        <c:dLbls>
          <c:showVal val="1"/>
        </c:dLbls>
        <c:gapWidth val="0"/>
        <c:axId val="130464768"/>
        <c:axId val="130595072"/>
      </c:barChart>
      <c:catAx>
        <c:axId val="130464768"/>
        <c:scaling>
          <c:orientation val="minMax"/>
        </c:scaling>
        <c:axPos val="b"/>
        <c:majorTickMark val="none"/>
        <c:tickLblPos val="none"/>
        <c:crossAx val="130595072"/>
        <c:crosses val="autoZero"/>
        <c:auto val="1"/>
        <c:lblAlgn val="ctr"/>
        <c:lblOffset val="100"/>
      </c:catAx>
      <c:valAx>
        <c:axId val="130595072"/>
        <c:scaling>
          <c:orientation val="minMax"/>
        </c:scaling>
        <c:axPos val="l"/>
        <c:majorGridlines/>
        <c:numFmt formatCode="General" sourceLinked="1"/>
        <c:tickLblPos val="nextTo"/>
        <c:crossAx val="130464768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656107882877472"/>
          <c:y val="8.6740459600823272E-2"/>
          <c:w val="0.23438921946516322"/>
          <c:h val="0.91197371551577644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5100-30-101</cp:lastModifiedBy>
  <cp:revision>2</cp:revision>
  <dcterms:created xsi:type="dcterms:W3CDTF">2019-05-22T11:37:00Z</dcterms:created>
  <dcterms:modified xsi:type="dcterms:W3CDTF">2019-05-22T11:37:00Z</dcterms:modified>
</cp:coreProperties>
</file>