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9" w:rsidRDefault="00213313">
      <w:r>
        <w:rPr>
          <w:noProof/>
        </w:rPr>
        <w:drawing>
          <wp:inline distT="0" distB="0" distL="0" distR="0">
            <wp:extent cx="9839325" cy="63055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317439" w:rsidSect="00213313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313"/>
    <w:rsid w:val="001062AE"/>
    <w:rsid w:val="00212867"/>
    <w:rsid w:val="00213313"/>
    <w:rsid w:val="00317439"/>
    <w:rsid w:val="00AE0B48"/>
    <w:rsid w:val="00F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1331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1331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1331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1331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5100-18-004\Documents\&#1057;&#1087;&#1088;&#1072;&#1074;&#1082;&#1080;\&#1054;&#1073;&#1088;&#1072;&#1097;&#1077;&#1085;&#1080;&#1103;%20&#1075;&#1088;&#1072;&#1078;&#1076;&#1072;&#1085;\&#1047;&#1072;&#1103;&#1074;&#1082;&#1080;%20&#1085;&#1072;%20&#1089;&#1072;&#1081;&#1090;_&#1045;&#1046;&#1045;&#1050;&#1042;&#1040;&#1056;&#1058;&#1040;&#1051;&#1068;&#1053;&#1067;&#1045;\&#1044;&#1080;&#1072;&#1075;&#1088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Количество обращений граждан, поступивших в УФНС</a:t>
            </a:r>
            <a:r>
              <a:rPr lang="ru-RU" sz="1400" baseline="0"/>
              <a:t> России</a:t>
            </a:r>
            <a:r>
              <a:rPr lang="ru-RU" sz="1400"/>
              <a:t/>
            </a:r>
            <a:br>
              <a:rPr lang="ru-RU" sz="1400"/>
            </a:br>
            <a:r>
              <a:rPr lang="ru-RU" sz="1400"/>
              <a:t> по Мурманской</a:t>
            </a:r>
            <a:r>
              <a:rPr lang="ru-RU" sz="1400" baseline="0"/>
              <a:t> области в 3 квартале 201</a:t>
            </a:r>
            <a:r>
              <a:rPr lang="en-US" sz="1400" baseline="0"/>
              <a:t>8</a:t>
            </a:r>
            <a:r>
              <a:rPr lang="ru-RU" sz="1400" baseline="0"/>
              <a:t> года, по тематике вопроса</a:t>
            </a:r>
            <a:endParaRPr lang="ru-RU" sz="1400"/>
          </a:p>
        </c:rich>
      </c:tx>
      <c:layout/>
    </c:title>
    <c:plotArea>
      <c:layout>
        <c:manualLayout>
          <c:layoutTarget val="inner"/>
          <c:xMode val="edge"/>
          <c:yMode val="edge"/>
          <c:x val="3.9400720135666492E-2"/>
          <c:y val="0.12543265947555926"/>
          <c:w val="0.71652170019821804"/>
          <c:h val="0.85175787195879527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60066"/>
              </a:solidFill>
            </c:spPr>
          </c:dPt>
          <c:dPt>
            <c:idx val="3"/>
            <c:spPr>
              <a:solidFill>
                <a:srgbClr val="FFCC00"/>
              </a:solidFill>
            </c:spPr>
          </c:dPt>
          <c:dPt>
            <c:idx val="4"/>
            <c:spPr>
              <a:solidFill>
                <a:srgbClr val="33CCCC"/>
              </a:solidFill>
            </c:spPr>
          </c:dPt>
          <c:dPt>
            <c:idx val="5"/>
            <c:spPr>
              <a:solidFill>
                <a:srgbClr val="FF6600"/>
              </a:solidFill>
            </c:spPr>
          </c:dPt>
          <c:dPt>
            <c:idx val="6"/>
            <c:spPr>
              <a:solidFill>
                <a:srgbClr val="009900"/>
              </a:solidFill>
            </c:spPr>
          </c:dPt>
          <c:dPt>
            <c:idx val="7"/>
            <c:spPr>
              <a:solidFill>
                <a:srgbClr val="CC0066"/>
              </a:solidFill>
            </c:spPr>
          </c:dPt>
          <c:dPt>
            <c:idx val="8"/>
            <c:spPr>
              <a:solidFill>
                <a:srgbClr val="008080"/>
              </a:solidFill>
            </c:spPr>
          </c:dPt>
          <c:dPt>
            <c:idx val="9"/>
            <c:spPr>
              <a:solidFill>
                <a:srgbClr val="0000FF"/>
              </a:solidFill>
            </c:spPr>
          </c:dPt>
          <c:dPt>
            <c:idx val="10"/>
            <c:spPr>
              <a:solidFill>
                <a:srgbClr val="9966FF"/>
              </a:solidFill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Лист1!$B$52:$B$62</c:f>
              <c:strCache>
                <c:ptCount val="11"/>
                <c:pt idx="0">
                  <c:v>Жалобы</c:v>
                </c:pt>
                <c:pt idx="1">
                  <c:v>Транспортный налог</c:v>
                </c:pt>
                <c:pt idx="2">
                  <c:v>Налог на имущество, земельный налог</c:v>
                </c:pt>
                <c:pt idx="3">
                  <c:v>Налог на доходы физических лиц</c:v>
                </c:pt>
                <c:pt idx="4">
                  <c:v>Задолженность</c:v>
                </c:pt>
                <c:pt idx="5">
                  <c:v>Регистрация и учет налогоплательщиков</c:v>
                </c:pt>
                <c:pt idx="6">
                  <c:v>Налогообложение малого бизнеса</c:v>
                </c:pt>
                <c:pt idx="7">
                  <c:v>Контроль исполнения налогового законодательства</c:v>
                </c:pt>
                <c:pt idx="8">
                  <c:v>Надзор в области азартных игр и лотерей</c:v>
                </c:pt>
                <c:pt idx="9">
                  <c:v>Работа с налогоплательщиками</c:v>
                </c:pt>
                <c:pt idx="10">
                  <c:v>Другие вопросы</c:v>
                </c:pt>
              </c:strCache>
            </c:strRef>
          </c:cat>
          <c:val>
            <c:numRef>
              <c:f>Лист1!$C$52:$C$62</c:f>
              <c:numCache>
                <c:formatCode>General</c:formatCode>
                <c:ptCount val="11"/>
                <c:pt idx="0">
                  <c:v>58</c:v>
                </c:pt>
                <c:pt idx="1">
                  <c:v>34</c:v>
                </c:pt>
                <c:pt idx="2">
                  <c:v>21</c:v>
                </c:pt>
                <c:pt idx="3">
                  <c:v>45</c:v>
                </c:pt>
                <c:pt idx="4">
                  <c:v>31</c:v>
                </c:pt>
                <c:pt idx="5">
                  <c:v>19</c:v>
                </c:pt>
                <c:pt idx="6">
                  <c:v>16</c:v>
                </c:pt>
                <c:pt idx="7">
                  <c:v>29</c:v>
                </c:pt>
                <c:pt idx="8">
                  <c:v>13</c:v>
                </c:pt>
                <c:pt idx="9">
                  <c:v>10</c:v>
                </c:pt>
                <c:pt idx="10">
                  <c:v>52</c:v>
                </c:pt>
              </c:numCache>
            </c:numRef>
          </c:val>
        </c:ser>
        <c:dLbls>
          <c:showVal val="1"/>
        </c:dLbls>
        <c:gapWidth val="0"/>
        <c:axId val="126374272"/>
        <c:axId val="126375808"/>
      </c:barChart>
      <c:catAx>
        <c:axId val="126374272"/>
        <c:scaling>
          <c:orientation val="minMax"/>
        </c:scaling>
        <c:axPos val="b"/>
        <c:majorTickMark val="none"/>
        <c:tickLblPos val="none"/>
        <c:crossAx val="126375808"/>
        <c:crosses val="autoZero"/>
        <c:auto val="1"/>
        <c:lblAlgn val="ctr"/>
        <c:lblOffset val="100"/>
      </c:catAx>
      <c:valAx>
        <c:axId val="126375808"/>
        <c:scaling>
          <c:orientation val="minMax"/>
        </c:scaling>
        <c:axPos val="l"/>
        <c:majorGridlines/>
        <c:numFmt formatCode="General" sourceLinked="1"/>
        <c:tickLblPos val="nextTo"/>
        <c:crossAx val="126374272"/>
        <c:crosses val="autoZero"/>
        <c:crossBetween val="between"/>
      </c:valAx>
      <c:spPr>
        <a:ln>
          <a:solidFill>
            <a:schemeClr val="accent1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300" b="0"/>
            </a:pPr>
            <a:endParaRPr lang="ru-RU"/>
          </a:p>
        </c:txPr>
      </c:legendEntry>
      <c:layout>
        <c:manualLayout>
          <c:xMode val="edge"/>
          <c:yMode val="edge"/>
          <c:x val="0.765610780534837"/>
          <c:y val="0.12924737818512894"/>
          <c:w val="0.23438921946516322"/>
          <c:h val="0.83483400569123345"/>
        </c:manualLayout>
      </c:layout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5100-30-101</cp:lastModifiedBy>
  <cp:revision>2</cp:revision>
  <dcterms:created xsi:type="dcterms:W3CDTF">2018-11-26T07:20:00Z</dcterms:created>
  <dcterms:modified xsi:type="dcterms:W3CDTF">2018-11-26T07:20:00Z</dcterms:modified>
</cp:coreProperties>
</file>