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2C6D22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FB3606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5134" w:type="dxa"/>
        <w:jc w:val="center"/>
        <w:tblInd w:w="-254" w:type="dxa"/>
        <w:tblLook w:val="04A0" w:firstRow="1" w:lastRow="0" w:firstColumn="1" w:lastColumn="0" w:noHBand="0" w:noVBand="1"/>
      </w:tblPr>
      <w:tblGrid>
        <w:gridCol w:w="1951"/>
        <w:gridCol w:w="3608"/>
        <w:gridCol w:w="2135"/>
        <w:gridCol w:w="2054"/>
        <w:gridCol w:w="1623"/>
        <w:gridCol w:w="2410"/>
        <w:gridCol w:w="1353"/>
      </w:tblGrid>
      <w:tr w:rsidR="00401EBE" w:rsidTr="00554CC9">
        <w:trPr>
          <w:jc w:val="center"/>
        </w:trPr>
        <w:tc>
          <w:tcPr>
            <w:tcW w:w="195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08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3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2054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6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EE1A29" w:rsidTr="00DC38FA">
        <w:trPr>
          <w:jc w:val="center"/>
        </w:trPr>
        <w:tc>
          <w:tcPr>
            <w:tcW w:w="1951" w:type="dxa"/>
          </w:tcPr>
          <w:p w:rsidR="00EE1A29" w:rsidRPr="00216A96" w:rsidRDefault="00EE1A29" w:rsidP="002E6AA6">
            <w:pPr>
              <w:rPr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EE1A29" w:rsidRDefault="00EE1A29" w:rsidP="00CE48F9">
            <w:pPr>
              <w:rPr>
                <w:sz w:val="24"/>
              </w:rPr>
            </w:pPr>
            <w:r w:rsidRPr="00940AA7">
              <w:rPr>
                <w:sz w:val="24"/>
              </w:rPr>
              <w:t xml:space="preserve">О преимуществах </w:t>
            </w:r>
            <w:r>
              <w:rPr>
                <w:sz w:val="24"/>
              </w:rPr>
              <w:t>перехода на электронный документооборот.</w:t>
            </w:r>
          </w:p>
          <w:p w:rsidR="00EE1A29" w:rsidRPr="00940AA7" w:rsidRDefault="00EE1A29" w:rsidP="00CE48F9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940AA7">
              <w:rPr>
                <w:sz w:val="24"/>
              </w:rPr>
              <w:t>редоставлени</w:t>
            </w:r>
            <w:r>
              <w:rPr>
                <w:sz w:val="24"/>
              </w:rPr>
              <w:t>е</w:t>
            </w:r>
            <w:r w:rsidRPr="00940AA7">
              <w:rPr>
                <w:sz w:val="24"/>
              </w:rPr>
              <w:t xml:space="preserve"> налоговой и бухгалтерской отчетности по телекоммуникационным каналам связи (ТКС)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135" w:type="dxa"/>
          </w:tcPr>
          <w:p w:rsidR="00EE1A29" w:rsidRDefault="00EE1A29" w:rsidP="006874B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6874B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6874B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EE1A29" w:rsidRPr="00DA1839" w:rsidRDefault="00EE1A29" w:rsidP="006874B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EE1A29" w:rsidRPr="00940AA7" w:rsidRDefault="00EE1A29" w:rsidP="00603094"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EE1A29" w:rsidRDefault="00EE1A29" w:rsidP="00603094">
            <w:pPr>
              <w:jc w:val="center"/>
              <w:rPr>
                <w:sz w:val="24"/>
              </w:rPr>
            </w:pPr>
          </w:p>
          <w:p w:rsidR="00EE1A29" w:rsidRDefault="00EE1A29" w:rsidP="006874BF">
            <w:pPr>
              <w:jc w:val="center"/>
              <w:rPr>
                <w:sz w:val="24"/>
              </w:rPr>
            </w:pPr>
          </w:p>
          <w:p w:rsidR="00EE1A29" w:rsidRDefault="00EE1A29" w:rsidP="00CE48F9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16.01.202</w:t>
            </w:r>
            <w:r>
              <w:rPr>
                <w:sz w:val="24"/>
              </w:rPr>
              <w:t>5</w:t>
            </w:r>
          </w:p>
          <w:p w:rsidR="00EE1A29" w:rsidRDefault="00EE1A29" w:rsidP="00CE48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  <w:p w:rsidR="00EE1A29" w:rsidRPr="00940AA7" w:rsidRDefault="00EE1A29" w:rsidP="00CE48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1623" w:type="dxa"/>
          </w:tcPr>
          <w:p w:rsidR="00EE1A29" w:rsidRDefault="00EE1A29" w:rsidP="00603094">
            <w:pPr>
              <w:jc w:val="center"/>
              <w:rPr>
                <w:sz w:val="24"/>
              </w:rPr>
            </w:pPr>
          </w:p>
          <w:p w:rsidR="00EE1A29" w:rsidRDefault="00EE1A29" w:rsidP="00603094">
            <w:pPr>
              <w:jc w:val="center"/>
              <w:rPr>
                <w:sz w:val="24"/>
              </w:rPr>
            </w:pPr>
          </w:p>
          <w:p w:rsidR="00EE1A29" w:rsidRDefault="00EE1A29" w:rsidP="00603094">
            <w:pPr>
              <w:jc w:val="center"/>
              <w:rPr>
                <w:sz w:val="24"/>
              </w:rPr>
            </w:pPr>
          </w:p>
          <w:p w:rsidR="00EE1A29" w:rsidRPr="00940AA7" w:rsidRDefault="00EE1A29" w:rsidP="006030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410" w:type="dxa"/>
          </w:tcPr>
          <w:p w:rsidR="00EE1A29" w:rsidRDefault="00EE1A29" w:rsidP="006874B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6874B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6874BF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EE1A29" w:rsidRPr="00940AA7" w:rsidRDefault="00EE1A29" w:rsidP="006874BF">
            <w:pPr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  <w:vAlign w:val="center"/>
          </w:tcPr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доб. 5586,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5587</w:t>
            </w:r>
          </w:p>
        </w:tc>
      </w:tr>
      <w:tr w:rsidR="00EE1A29" w:rsidTr="00DC38FA">
        <w:trPr>
          <w:trHeight w:val="1964"/>
          <w:jc w:val="center"/>
        </w:trPr>
        <w:tc>
          <w:tcPr>
            <w:tcW w:w="1951" w:type="dxa"/>
          </w:tcPr>
          <w:p w:rsidR="00EE1A29" w:rsidRDefault="00EE1A29" w:rsidP="00DA1839">
            <w:pPr>
              <w:rPr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EE1A29" w:rsidRPr="00EE1A29" w:rsidRDefault="00EE1A29" w:rsidP="00EE1A29">
            <w:pPr>
              <w:rPr>
                <w:sz w:val="24"/>
              </w:rPr>
            </w:pPr>
            <w:r w:rsidRPr="00EE1A29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EE1A29" w:rsidRDefault="00EE1A29" w:rsidP="00EE1A29">
            <w:pPr>
              <w:rPr>
                <w:sz w:val="24"/>
              </w:rPr>
            </w:pPr>
            <w:r w:rsidRPr="00EE1A29">
              <w:rPr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135" w:type="dxa"/>
          </w:tcPr>
          <w:p w:rsidR="00EE1A29" w:rsidRDefault="00EE1A29" w:rsidP="00A16014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A16014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A16014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EE1A29" w:rsidRPr="00DA1839" w:rsidRDefault="00EE1A29" w:rsidP="00A16014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EE1A29" w:rsidRPr="00940AA7" w:rsidRDefault="00EE1A29" w:rsidP="00A16014"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EE1A29" w:rsidRDefault="00EE1A29" w:rsidP="00A16014">
            <w:pPr>
              <w:jc w:val="center"/>
              <w:rPr>
                <w:sz w:val="24"/>
              </w:rPr>
            </w:pPr>
          </w:p>
          <w:p w:rsidR="00EE1A29" w:rsidRDefault="00EE1A29" w:rsidP="00596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DA1839">
              <w:rPr>
                <w:sz w:val="24"/>
              </w:rPr>
              <w:t>1.202</w:t>
            </w:r>
            <w:r>
              <w:rPr>
                <w:sz w:val="24"/>
              </w:rPr>
              <w:t>5</w:t>
            </w:r>
            <w:r w:rsidRPr="00DA1839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DA1839">
              <w:rPr>
                <w:sz w:val="24"/>
              </w:rPr>
              <w:t>2.202</w:t>
            </w:r>
            <w:r>
              <w:rPr>
                <w:sz w:val="24"/>
              </w:rPr>
              <w:t>5</w:t>
            </w:r>
          </w:p>
          <w:p w:rsidR="00EE1A29" w:rsidRDefault="00EE1A29" w:rsidP="00596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  <w:p w:rsidR="00EE1A29" w:rsidRDefault="00EE1A29" w:rsidP="00596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  <w:p w:rsidR="00EE1A29" w:rsidRPr="00940AA7" w:rsidRDefault="00EE1A29" w:rsidP="00596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27.03.2025</w:t>
            </w:r>
          </w:p>
        </w:tc>
        <w:tc>
          <w:tcPr>
            <w:tcW w:w="1623" w:type="dxa"/>
          </w:tcPr>
          <w:p w:rsidR="00EE1A29" w:rsidRDefault="00EE1A29" w:rsidP="00A16014">
            <w:pPr>
              <w:jc w:val="center"/>
              <w:rPr>
                <w:sz w:val="24"/>
              </w:rPr>
            </w:pPr>
          </w:p>
          <w:p w:rsidR="00EE1A29" w:rsidRDefault="00EE1A29" w:rsidP="00A16014">
            <w:pPr>
              <w:jc w:val="center"/>
              <w:rPr>
                <w:sz w:val="24"/>
              </w:rPr>
            </w:pPr>
          </w:p>
          <w:p w:rsidR="00EE1A29" w:rsidRDefault="00EE1A29" w:rsidP="00A16014">
            <w:pPr>
              <w:jc w:val="center"/>
              <w:rPr>
                <w:sz w:val="24"/>
              </w:rPr>
            </w:pPr>
          </w:p>
          <w:p w:rsidR="00EE1A29" w:rsidRPr="00940AA7" w:rsidRDefault="00EE1A29" w:rsidP="00A16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410" w:type="dxa"/>
          </w:tcPr>
          <w:p w:rsidR="00EE1A29" w:rsidRDefault="00EE1A29" w:rsidP="00A16014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A16014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A16014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EE1A29" w:rsidRPr="00940AA7" w:rsidRDefault="00EE1A29" w:rsidP="00A16014">
            <w:pPr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  <w:vAlign w:val="center"/>
          </w:tcPr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доб. 5586,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5587</w:t>
            </w:r>
          </w:p>
          <w:p w:rsidR="00EE1A29" w:rsidRPr="00071D70" w:rsidRDefault="00EE1A29" w:rsidP="00EE1A29">
            <w:pPr>
              <w:rPr>
                <w:sz w:val="24"/>
              </w:rPr>
            </w:pPr>
          </w:p>
        </w:tc>
      </w:tr>
      <w:tr w:rsidR="00EE1A29" w:rsidTr="00DC38FA">
        <w:trPr>
          <w:trHeight w:val="2324"/>
          <w:jc w:val="center"/>
        </w:trPr>
        <w:tc>
          <w:tcPr>
            <w:tcW w:w="1951" w:type="dxa"/>
          </w:tcPr>
          <w:p w:rsidR="00EE1A29" w:rsidRDefault="00EE1A29" w:rsidP="00DA183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EE1A29" w:rsidRPr="00EE1A29" w:rsidRDefault="00EE1A29" w:rsidP="00EE1A29">
            <w:pPr>
              <w:ind w:right="-108"/>
              <w:rPr>
                <w:sz w:val="24"/>
              </w:rPr>
            </w:pPr>
            <w:r w:rsidRPr="00EE1A29">
              <w:rPr>
                <w:sz w:val="24"/>
              </w:rPr>
              <w:t>Последствия неуплаты имущественных налогов и порядок взыскания задолженности.</w:t>
            </w:r>
          </w:p>
          <w:p w:rsidR="00EE1A29" w:rsidRPr="00EE1A29" w:rsidRDefault="00EE1A29" w:rsidP="00EE1A29">
            <w:pPr>
              <w:ind w:right="-108"/>
              <w:rPr>
                <w:sz w:val="24"/>
              </w:rPr>
            </w:pPr>
            <w:r w:rsidRPr="00EE1A29">
              <w:rPr>
                <w:sz w:val="24"/>
              </w:rPr>
              <w:t>Льготы по имущественным налогам.</w:t>
            </w:r>
          </w:p>
          <w:p w:rsidR="00EE1A29" w:rsidRPr="00DA1839" w:rsidRDefault="00EE1A29" w:rsidP="00EE1A29">
            <w:pPr>
              <w:rPr>
                <w:sz w:val="24"/>
              </w:rPr>
            </w:pPr>
            <w:r w:rsidRPr="00EE1A29">
              <w:rPr>
                <w:sz w:val="24"/>
              </w:rPr>
              <w:t>Информирование о налоговой задолженности с помощью СМС и E-MAIL сообщений.</w:t>
            </w:r>
          </w:p>
        </w:tc>
        <w:tc>
          <w:tcPr>
            <w:tcW w:w="2135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EE1A29" w:rsidRDefault="00EE1A29" w:rsidP="00CE78F1">
            <w:pPr>
              <w:jc w:val="center"/>
              <w:rPr>
                <w:sz w:val="24"/>
              </w:rPr>
            </w:pPr>
          </w:p>
          <w:p w:rsidR="00EE1A29" w:rsidRDefault="00EE1A29" w:rsidP="00CE78F1">
            <w:pPr>
              <w:jc w:val="center"/>
              <w:rPr>
                <w:sz w:val="24"/>
              </w:rPr>
            </w:pP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14.01.202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  <w:p w:rsidR="00EE1A2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  <w:p w:rsidR="00EE1A29" w:rsidRPr="00DA1839" w:rsidRDefault="00EE1A29" w:rsidP="008A07ED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</w:tcPr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доб. 5586,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5587</w:t>
            </w: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</w:tc>
      </w:tr>
      <w:tr w:rsidR="00EE1A29" w:rsidTr="00DC38FA">
        <w:trPr>
          <w:jc w:val="center"/>
        </w:trPr>
        <w:tc>
          <w:tcPr>
            <w:tcW w:w="1951" w:type="dxa"/>
          </w:tcPr>
          <w:p w:rsidR="00EE1A29" w:rsidRDefault="00EE1A29" w:rsidP="00DA183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</w:t>
            </w:r>
            <w:r>
              <w:rPr>
                <w:sz w:val="24"/>
              </w:rPr>
              <w:lastRenderedPageBreak/>
              <w:t xml:space="preserve">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  <w:vAlign w:val="center"/>
          </w:tcPr>
          <w:p w:rsidR="00EE1A29" w:rsidRPr="00EE1A29" w:rsidRDefault="00EE1A29" w:rsidP="00EE1A29">
            <w:pPr>
              <w:ind w:right="34"/>
              <w:rPr>
                <w:sz w:val="24"/>
              </w:rPr>
            </w:pPr>
            <w:proofErr w:type="gramStart"/>
            <w:r w:rsidRPr="00EE1A29">
              <w:rPr>
                <w:sz w:val="24"/>
              </w:rPr>
              <w:lastRenderedPageBreak/>
              <w:t>Интернет-сервисы</w:t>
            </w:r>
            <w:proofErr w:type="gramEnd"/>
            <w:r w:rsidRPr="00EE1A29">
              <w:rPr>
                <w:sz w:val="24"/>
              </w:rPr>
              <w:t xml:space="preserve"> ФНС России по оценке качества: «QR-анкетирование»;</w:t>
            </w:r>
          </w:p>
          <w:p w:rsidR="00EE1A29" w:rsidRPr="00EE1A29" w:rsidRDefault="00EE1A29" w:rsidP="00EE1A29">
            <w:pPr>
              <w:ind w:right="34"/>
              <w:rPr>
                <w:sz w:val="24"/>
              </w:rPr>
            </w:pPr>
            <w:r w:rsidRPr="00EE1A29">
              <w:rPr>
                <w:sz w:val="24"/>
              </w:rPr>
              <w:lastRenderedPageBreak/>
              <w:t>«Ваш контроль»;</w:t>
            </w:r>
          </w:p>
          <w:p w:rsidR="00EE1A29" w:rsidRPr="00DA1839" w:rsidRDefault="00EE1A29" w:rsidP="00EE1A29">
            <w:pPr>
              <w:ind w:right="34"/>
              <w:rPr>
                <w:sz w:val="24"/>
              </w:rPr>
            </w:pPr>
            <w:r w:rsidRPr="00EE1A29">
              <w:rPr>
                <w:sz w:val="24"/>
              </w:rPr>
              <w:t>«Анкетирование».</w:t>
            </w:r>
          </w:p>
        </w:tc>
        <w:tc>
          <w:tcPr>
            <w:tcW w:w="2135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EE1A29" w:rsidRPr="00DA1839" w:rsidRDefault="00EE1A29" w:rsidP="00CE78F1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lastRenderedPageBreak/>
              <w:t>15.01.202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DA1839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EE1A29" w:rsidRDefault="00EE1A29" w:rsidP="00DA1839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lastRenderedPageBreak/>
              <w:t>11.00</w:t>
            </w:r>
          </w:p>
          <w:p w:rsidR="00EE1A29" w:rsidRPr="00DA1839" w:rsidRDefault="00EE1A29" w:rsidP="00DA1839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  <w:vAlign w:val="center"/>
          </w:tcPr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lastRenderedPageBreak/>
              <w:t>+7(8152) 56-68-41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доб. 5586,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5587</w:t>
            </w:r>
          </w:p>
        </w:tc>
      </w:tr>
      <w:tr w:rsidR="00EE1A29" w:rsidTr="00DC38FA">
        <w:trPr>
          <w:jc w:val="center"/>
        </w:trPr>
        <w:tc>
          <w:tcPr>
            <w:tcW w:w="1951" w:type="dxa"/>
          </w:tcPr>
          <w:p w:rsidR="00EE1A29" w:rsidRDefault="00EE1A29" w:rsidP="00DA1839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  <w:tcBorders>
              <w:bottom w:val="single" w:sz="4" w:space="0" w:color="auto"/>
            </w:tcBorders>
          </w:tcPr>
          <w:p w:rsidR="00EE1A29" w:rsidRPr="00DA1839" w:rsidRDefault="00EE1A29" w:rsidP="00EE1A29">
            <w:pPr>
              <w:ind w:right="34"/>
              <w:rPr>
                <w:sz w:val="24"/>
              </w:rPr>
            </w:pPr>
            <w:r w:rsidRPr="00071D70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  («Личный кабинет налогоплательщика для физических лиц», «Личный кабинет юридического лица», «Личный кабинет налогоплательщика индивидуального предпринимателя»).</w:t>
            </w:r>
            <w:r>
              <w:rPr>
                <w:sz w:val="24"/>
              </w:rPr>
              <w:t xml:space="preserve"> </w:t>
            </w:r>
            <w:r w:rsidRPr="00C16727">
              <w:rPr>
                <w:sz w:val="24"/>
              </w:rPr>
              <w:t>Порядок получения услуг ФНС России через многофункциональные центры (МФЦ). Порядок получения услуг ФНС России через Единый портал государственных услуг.</w:t>
            </w:r>
          </w:p>
        </w:tc>
        <w:tc>
          <w:tcPr>
            <w:tcW w:w="2135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E1A29" w:rsidRDefault="00EE1A29" w:rsidP="00DA1839">
            <w:pPr>
              <w:jc w:val="center"/>
              <w:rPr>
                <w:sz w:val="24"/>
              </w:rPr>
            </w:pPr>
          </w:p>
          <w:p w:rsidR="00EE1A29" w:rsidRDefault="00EE1A29" w:rsidP="00DA1839">
            <w:pPr>
              <w:jc w:val="center"/>
              <w:rPr>
                <w:sz w:val="24"/>
              </w:rPr>
            </w:pP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 w:rsidRPr="00CA1302">
              <w:rPr>
                <w:sz w:val="24"/>
              </w:rPr>
              <w:t>22.01.202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EE1A29" w:rsidRPr="00DA1839" w:rsidRDefault="00EE1A29" w:rsidP="00CE78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  <w:tc>
          <w:tcPr>
            <w:tcW w:w="1623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410" w:type="dxa"/>
          </w:tcPr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Default="00EE1A29" w:rsidP="00F4317F">
            <w:pPr>
              <w:ind w:right="-159"/>
              <w:jc w:val="center"/>
              <w:rPr>
                <w:sz w:val="24"/>
              </w:rPr>
            </w:pP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bookmarkStart w:id="0" w:name="_GoBack"/>
            <w:bookmarkEnd w:id="0"/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EE1A29" w:rsidRPr="00DA1839" w:rsidRDefault="00EE1A29" w:rsidP="00F4317F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  <w:vAlign w:val="center"/>
          </w:tcPr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+7(8152) 56-68-41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доб. 5586,</w:t>
            </w:r>
          </w:p>
          <w:p w:rsidR="00EE1A29" w:rsidRPr="00071D70" w:rsidRDefault="00EE1A29" w:rsidP="00EE1A29">
            <w:pPr>
              <w:rPr>
                <w:sz w:val="24"/>
              </w:rPr>
            </w:pPr>
            <w:r w:rsidRPr="00071D70">
              <w:rPr>
                <w:sz w:val="24"/>
              </w:rPr>
              <w:t>5587</w:t>
            </w:r>
          </w:p>
          <w:p w:rsidR="00EE1A29" w:rsidRPr="00071D70" w:rsidRDefault="00EE1A29" w:rsidP="00EE1A29">
            <w:pPr>
              <w:rPr>
                <w:sz w:val="24"/>
              </w:rPr>
            </w:pPr>
          </w:p>
        </w:tc>
      </w:tr>
    </w:tbl>
    <w:p w:rsidR="00EE1A29" w:rsidRDefault="00EE1A29" w:rsidP="00EE1A29"/>
    <w:sectPr w:rsidR="00EE1A29" w:rsidSect="00CE78F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13175C"/>
    <w:rsid w:val="00216A96"/>
    <w:rsid w:val="002A0D99"/>
    <w:rsid w:val="002C6D22"/>
    <w:rsid w:val="002D0ABD"/>
    <w:rsid w:val="002E6AA6"/>
    <w:rsid w:val="00401EBE"/>
    <w:rsid w:val="00466700"/>
    <w:rsid w:val="0047406B"/>
    <w:rsid w:val="004A1292"/>
    <w:rsid w:val="005123AD"/>
    <w:rsid w:val="00524011"/>
    <w:rsid w:val="00554CC9"/>
    <w:rsid w:val="00592037"/>
    <w:rsid w:val="00596BEF"/>
    <w:rsid w:val="00597EF3"/>
    <w:rsid w:val="005C1D18"/>
    <w:rsid w:val="005F720C"/>
    <w:rsid w:val="00603094"/>
    <w:rsid w:val="00632EEF"/>
    <w:rsid w:val="00675719"/>
    <w:rsid w:val="006874BF"/>
    <w:rsid w:val="006C6D15"/>
    <w:rsid w:val="006D0F63"/>
    <w:rsid w:val="00791242"/>
    <w:rsid w:val="00793E30"/>
    <w:rsid w:val="00805AEF"/>
    <w:rsid w:val="00815F4F"/>
    <w:rsid w:val="008A07ED"/>
    <w:rsid w:val="008C24BA"/>
    <w:rsid w:val="008D5F31"/>
    <w:rsid w:val="009D07D7"/>
    <w:rsid w:val="00A06FAA"/>
    <w:rsid w:val="00A13AF1"/>
    <w:rsid w:val="00A2555F"/>
    <w:rsid w:val="00AE5CB2"/>
    <w:rsid w:val="00B1204D"/>
    <w:rsid w:val="00B15E83"/>
    <w:rsid w:val="00CE48F9"/>
    <w:rsid w:val="00CE78F1"/>
    <w:rsid w:val="00D04987"/>
    <w:rsid w:val="00D23DAE"/>
    <w:rsid w:val="00DA1839"/>
    <w:rsid w:val="00E33D67"/>
    <w:rsid w:val="00E57BF8"/>
    <w:rsid w:val="00E811D6"/>
    <w:rsid w:val="00EE1A29"/>
    <w:rsid w:val="00EF7466"/>
    <w:rsid w:val="00F4317F"/>
    <w:rsid w:val="00F8288C"/>
    <w:rsid w:val="00FB3606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Парисеева Анна Александровна</cp:lastModifiedBy>
  <cp:revision>2</cp:revision>
  <cp:lastPrinted>2022-10-05T06:36:00Z</cp:lastPrinted>
  <dcterms:created xsi:type="dcterms:W3CDTF">2024-12-24T06:19:00Z</dcterms:created>
  <dcterms:modified xsi:type="dcterms:W3CDTF">2024-12-24T06:19:00Z</dcterms:modified>
</cp:coreProperties>
</file>