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Вопрос:</w:t>
      </w:r>
      <w:r>
        <w:rPr>
          <w:rFonts w:ascii="Calibri" w:hAnsi="Calibri" w:cs="Calibri"/>
        </w:rPr>
        <w:t xml:space="preserve"> О предоставлении имущественного вычета по НДФЛ по расходам на уплату процентов по нецелевому займу (кредиту), если налогоплательщик направил его на приобретение жилья.</w:t>
      </w: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Ответ:</w:t>
      </w: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19 июня 2014 г. N 03-04-07/29416</w:t>
      </w: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Департамент налоговой и таможенно-тарифной политики рассмотрел письмо по вопросу предоставления имущественного налогового вычета налогоплательщикам в размере произведенных ими расходов по уплате процентов по займам и потребительским кредитам и сообщает следующее.</w:t>
      </w: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положениями </w:t>
      </w:r>
      <w:hyperlink r:id="rId5" w:history="1">
        <w:r>
          <w:rPr>
            <w:rFonts w:ascii="Calibri" w:hAnsi="Calibri" w:cs="Calibri"/>
            <w:color w:val="0000FF"/>
          </w:rPr>
          <w:t>подпункта 4 пункта 1 статьи 220</w:t>
        </w:r>
      </w:hyperlink>
      <w:r>
        <w:rPr>
          <w:rFonts w:ascii="Calibri" w:hAnsi="Calibri" w:cs="Calibri"/>
        </w:rPr>
        <w:t xml:space="preserve"> Налогового кодекса Российской Федерации (далее - Кодекс) при определении размера налоговой базы по налогу на доходы физических лиц налогоплательщик имеет право на получение имущественного налогового вычета в сумме фактически произведенных им расходов, в частности, на новое строительство либо приобретение на территории Российской Федерации жилого дома, квартиры, комнаты или доли (долей) в</w:t>
      </w:r>
      <w:proofErr w:type="gramEnd"/>
      <w:r>
        <w:rPr>
          <w:rFonts w:ascii="Calibri" w:hAnsi="Calibri" w:cs="Calibri"/>
        </w:rPr>
        <w:t xml:space="preserve"> них, а также на погашение процентов по целевым займам (кредитам), полученным от российских организаций или индивидуальных предпринимателей и фактически израсходованным на приобретение на территории Российской Федерации жилого дома, квартиры, комнаты или доли (долей) в них.</w:t>
      </w: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этом согласно </w:t>
      </w:r>
      <w:hyperlink r:id="rId6" w:history="1">
        <w:r>
          <w:rPr>
            <w:rFonts w:ascii="Calibri" w:hAnsi="Calibri" w:cs="Calibri"/>
            <w:color w:val="0000FF"/>
          </w:rPr>
          <w:t>пункту 1 статьи 814</w:t>
        </w:r>
      </w:hyperlink>
      <w:r>
        <w:rPr>
          <w:rFonts w:ascii="Calibri" w:hAnsi="Calibri" w:cs="Calibri"/>
        </w:rPr>
        <w:t xml:space="preserve"> Гражданского кодекса Российской Федерации (далее - Гражданский кодекс) заем является целевым в том случае, если договор займа заключен с условием использования заемщиком полученных средств на определенные цели.</w:t>
      </w: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7" w:history="1">
        <w:r>
          <w:rPr>
            <w:rFonts w:ascii="Calibri" w:hAnsi="Calibri" w:cs="Calibri"/>
            <w:color w:val="0000FF"/>
          </w:rPr>
          <w:t>пунктом 2 статьи 819</w:t>
        </w:r>
      </w:hyperlink>
      <w:r>
        <w:rPr>
          <w:rFonts w:ascii="Calibri" w:hAnsi="Calibri" w:cs="Calibri"/>
        </w:rPr>
        <w:t xml:space="preserve"> Гражданского кодекса к отношениям по кредитному договору применяются правила, предусмотренные </w:t>
      </w:r>
      <w:hyperlink r:id="rId8" w:history="1">
        <w:r>
          <w:rPr>
            <w:rFonts w:ascii="Calibri" w:hAnsi="Calibri" w:cs="Calibri"/>
            <w:color w:val="0000FF"/>
          </w:rPr>
          <w:t>параграфом 1</w:t>
        </w:r>
      </w:hyperlink>
      <w:r>
        <w:rPr>
          <w:rFonts w:ascii="Calibri" w:hAnsi="Calibri" w:cs="Calibri"/>
        </w:rPr>
        <w:t xml:space="preserve"> ("Заем"), если иное не предусмотрено правилами параграфа 2 ("Кредит") и не вытекает из существа кредитного договора.</w:t>
      </w: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Исходя из вышеуказанных положений законодательства Российской Федерации имущественный налоговый вычет в сумме фактически произведенных налогоплательщиком расходов на погашение процентов по целевым займам (кредитам), израсходованным на приобретение на территории Российской Федерации дома, квартиры, комнаты или доли (долей) в них, может быть предоставлен только при одновременном соблюдении двух обязательных условий:</w:t>
      </w: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договор займа (кредита) является целевым, то есть из такого договора усматривается условие о том, что единственно допустимым направлением расходования выданного на его основании займа (кредита) является приобретение на территории Российской Федерации дома, квартиры, комнаты или доли (долей) в них;</w:t>
      </w: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полученные на основании договора займа (кредита) денежные средства израсходованы на приобретение на территории Российской Федерации дома, квартиры, комнаты или доли (долей) в них.</w:t>
      </w: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Следовательно, одного факта направления полученных по нецелевому займу (кредиту) денежных средств на приобретение жилья недостаточно для предоставления имущественного налогового вычета в сумме произведенных расходов по уплате процентов по такому займу (кредиту).</w:t>
      </w: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Таким образом, если условиями договора займа (кредита) предусмотрено, что его единственным назначением является приобретение на территории Российской Федерации дома, квартиры, комнаты или доли (долей) в них, и денежные средства, полученные по такому договору, были фактически направлены на приобретение на территории Российской Федерации дома, квартиры, комнаты или доли (долей) в них, то налогоплательщик имеет право на получение имущественного налогового вычета в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размере</w:t>
      </w:r>
      <w:proofErr w:type="gramEnd"/>
      <w:r>
        <w:rPr>
          <w:rFonts w:ascii="Calibri" w:hAnsi="Calibri" w:cs="Calibri"/>
        </w:rPr>
        <w:t xml:space="preserve"> произведенных им расходов по уплате процентов </w:t>
      </w:r>
      <w:r>
        <w:rPr>
          <w:rFonts w:ascii="Calibri" w:hAnsi="Calibri" w:cs="Calibri"/>
        </w:rPr>
        <w:lastRenderedPageBreak/>
        <w:t>по кредиту. Если в договоре займа (кредита) вышеуказанных условий не предусмотрено, то отказ в предоставлении имущественного налогового вычета правомерен.</w:t>
      </w: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Департамент налоговой и таможенно-тарифной политики не имеет возражений против размещения изложенной в настоящем письме позиции на официальном сайте ФНС России в качестве разъяснений ФНС России, обязательных для применения налоговыми органами, а также ее доведения до налоговых органов и налогоплательщиков.</w:t>
      </w: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Директор Департамента </w:t>
      </w:r>
      <w:proofErr w:type="gramStart"/>
      <w:r>
        <w:rPr>
          <w:rFonts w:ascii="Calibri" w:hAnsi="Calibri" w:cs="Calibri"/>
        </w:rPr>
        <w:t>налоговой</w:t>
      </w:r>
      <w:proofErr w:type="gramEnd"/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таможенно-тарифной политики</w:t>
      </w: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И.В.ТРУНИН</w:t>
      </w: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19.06.2014</w:t>
      </w: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57B03" w:rsidRDefault="00757B0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57B03" w:rsidRDefault="00757B0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371D20" w:rsidRDefault="00371D20">
      <w:bookmarkStart w:id="0" w:name="_GoBack"/>
      <w:bookmarkEnd w:id="0"/>
    </w:p>
    <w:sectPr w:rsidR="00371D20" w:rsidSect="0081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B03"/>
    <w:rsid w:val="00371D20"/>
    <w:rsid w:val="00757B03"/>
    <w:rsid w:val="00973DEA"/>
    <w:rsid w:val="00A7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62EE5C7ABE438F5F0201BE7AF15ADEE8EAF342774D74AED05B8BD3E135DA962242BCE8B35D2B5F27R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62EE5C7ABE438F5F0201BE7AF15ADEE8EAF342774D74AED05B8BD3E135DA962242BCE8B35D2B5427RC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262EE5C7ABE438F5F0201BE7AF15ADEE8EAF342774D74AED05B8BD3E135DA962242BCE8B35D2B5A27R3I" TargetMode="External"/><Relationship Id="rId5" Type="http://schemas.openxmlformats.org/officeDocument/2006/relationships/hyperlink" Target="consultantplus://offline/ref=4262EE5C7ABE438F5F0201BE7AF15ADEE8E9F64D7F4E74AED05B8BD3E135DA962242BCE1B75E22R8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Юлия Николаевна</dc:creator>
  <cp:lastModifiedBy>Федорова Юлия Николаевна</cp:lastModifiedBy>
  <cp:revision>1</cp:revision>
  <dcterms:created xsi:type="dcterms:W3CDTF">2014-07-14T08:17:00Z</dcterms:created>
  <dcterms:modified xsi:type="dcterms:W3CDTF">2014-07-14T08:18:00Z</dcterms:modified>
</cp:coreProperties>
</file>