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6" w:rsidRPr="00031886" w:rsidRDefault="00031886" w:rsidP="00DC00F0">
      <w:pPr>
        <w:pStyle w:val="ConsPlusNormal"/>
        <w:ind w:firstLine="709"/>
        <w:jc w:val="center"/>
        <w:rPr>
          <w:b/>
          <w:sz w:val="32"/>
          <w:szCs w:val="32"/>
        </w:rPr>
      </w:pPr>
      <w:r w:rsidRPr="00031886">
        <w:rPr>
          <w:b/>
          <w:bCs/>
          <w:sz w:val="32"/>
          <w:szCs w:val="32"/>
        </w:rPr>
        <w:t>Негативные последствия выплаты «конвертной» заработной платы. Актуальные вопросы администрирования НДФЛ и страховых взносов для налоговых агентов</w:t>
      </w:r>
    </w:p>
    <w:p w:rsidR="00031886" w:rsidRDefault="00031886" w:rsidP="00DC00F0">
      <w:pPr>
        <w:pStyle w:val="NormalExport"/>
        <w:ind w:firstLine="709"/>
        <w:rPr>
          <w:rFonts w:ascii="Times New Roman" w:hAnsi="Times New Roman" w:cs="Times New Roman"/>
          <w:sz w:val="28"/>
          <w:szCs w:val="28"/>
        </w:rPr>
      </w:pPr>
    </w:p>
    <w:p w:rsidR="00DC00F0" w:rsidRPr="00DC00F0" w:rsidRDefault="00DC00F0" w:rsidP="00DC00F0">
      <w:pPr>
        <w:pStyle w:val="NormalExport"/>
        <w:ind w:firstLine="709"/>
        <w:rPr>
          <w:rFonts w:ascii="Times New Roman" w:hAnsi="Times New Roman" w:cs="Times New Roman"/>
          <w:sz w:val="28"/>
          <w:szCs w:val="28"/>
        </w:rPr>
      </w:pPr>
      <w:r w:rsidRPr="00DC00F0">
        <w:rPr>
          <w:rFonts w:ascii="Times New Roman" w:hAnsi="Times New Roman" w:cs="Times New Roman"/>
          <w:sz w:val="28"/>
          <w:szCs w:val="28"/>
        </w:rPr>
        <w:t xml:space="preserve">Многим работодателям выгодна серая зарплата. Ведь таким образом они экономят на страховых взносах и налоговых отчислениях. </w:t>
      </w:r>
    </w:p>
    <w:p w:rsidR="00DC00F0" w:rsidRPr="00DC00F0" w:rsidRDefault="00DC00F0" w:rsidP="00DC00F0">
      <w:pPr>
        <w:pStyle w:val="NormalExport"/>
        <w:ind w:firstLine="709"/>
        <w:rPr>
          <w:rFonts w:ascii="Times New Roman" w:hAnsi="Times New Roman" w:cs="Times New Roman"/>
          <w:sz w:val="28"/>
          <w:szCs w:val="28"/>
        </w:rPr>
      </w:pPr>
      <w:r w:rsidRPr="00DC00F0">
        <w:rPr>
          <w:rFonts w:ascii="Times New Roman" w:hAnsi="Times New Roman" w:cs="Times New Roman"/>
          <w:sz w:val="28"/>
          <w:szCs w:val="28"/>
        </w:rPr>
        <w:t xml:space="preserve">Обычно схема работает так: работодатель заключает с работником договор и прописывает в нем крошечный оклад. С этого маленького заработка как раз платятся налоги и пенсионные отчисления. Остальная сумма выдается работнику на руки. </w:t>
      </w:r>
    </w:p>
    <w:p w:rsidR="00DC00F0" w:rsidRDefault="00DC00F0" w:rsidP="00DC00F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0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Новгородской области напоминает, что соглашаясь на работу с выплатой части заработка «в конверте», работник принимает на себя соответствующие риски, должен быть готов к тому, что работодатель может отказать в ее выплате. Нет никакой гарантии, что работодатель и дальше будет выплачивать всю обговоренную «серую» часть, так как ни ее размер, ни порядок выплаты, ни срок выплаты не закреплены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</w:t>
      </w:r>
    </w:p>
    <w:p w:rsidR="005C4CF5" w:rsidRPr="005C4CF5" w:rsidRDefault="005C4CF5" w:rsidP="005C4CF5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CF5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5C4CF5" w:rsidRDefault="005C4CF5" w:rsidP="00DC00F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9B719">
            <wp:extent cx="2870066" cy="21526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63" cy="215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CF5" w:rsidRPr="00DC00F0" w:rsidRDefault="005C4CF5" w:rsidP="00DC00F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F0" w:rsidRPr="00DC00F0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DC00F0">
        <w:rPr>
          <w:sz w:val="28"/>
          <w:szCs w:val="28"/>
        </w:rPr>
        <w:t>В частности, у работника могут возникнуть следующие проблемы:</w:t>
      </w:r>
    </w:p>
    <w:p w:rsidR="00DC00F0" w:rsidRPr="00DC00F0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DC00F0">
        <w:rPr>
          <w:sz w:val="28"/>
          <w:szCs w:val="28"/>
        </w:rP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«серой». То есть если в трудовом договоре с работником прописано 10 тысяч рублей в месяц, а на руки он получает 40 тысяч, то отпускные рассчитают именно из 10 тысяч.</w:t>
      </w:r>
    </w:p>
    <w:p w:rsidR="00DC00F0" w:rsidRPr="00DC00F0" w:rsidRDefault="00DC00F0" w:rsidP="00DC00F0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DC00F0">
        <w:rPr>
          <w:sz w:val="28"/>
          <w:szCs w:val="28"/>
        </w:rPr>
        <w:t>Те же проблемы, что и с отпуском при оплате листка нетрудоспособности.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</w:t>
      </w:r>
    </w:p>
    <w:p w:rsidR="00DC00F0" w:rsidRPr="00DC00F0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DC00F0">
        <w:rPr>
          <w:sz w:val="28"/>
          <w:szCs w:val="28"/>
        </w:rPr>
        <w:t>При увольнении работника выходное пособие будет также исчислено исходя из официальной части зарплаты.</w:t>
      </w:r>
    </w:p>
    <w:p w:rsidR="00DC00F0" w:rsidRPr="00DC00F0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DC00F0">
        <w:rPr>
          <w:sz w:val="28"/>
          <w:szCs w:val="28"/>
        </w:rPr>
        <w:t xml:space="preserve">Отчисления страховых взносов производятся на основании «белой» части зарплаты. По закону работодатель перечисляет в Пенсионный фонд определенный процент от официальной зарплаты своих работников. Эти взносы </w:t>
      </w:r>
      <w:r w:rsidRPr="00DC00F0">
        <w:rPr>
          <w:sz w:val="28"/>
          <w:szCs w:val="28"/>
        </w:rPr>
        <w:lastRenderedPageBreak/>
        <w:t xml:space="preserve">учитываются на специальном пенсионном счете гражданина - в так называемых пенсионных баллах. И именно от количества этих самых баллов во многом и будут зависеть размер будущей </w:t>
      </w:r>
      <w:proofErr w:type="gramStart"/>
      <w:r w:rsidRPr="00DC00F0">
        <w:rPr>
          <w:sz w:val="28"/>
          <w:szCs w:val="28"/>
        </w:rPr>
        <w:t>пенсии</w:t>
      </w:r>
      <w:proofErr w:type="gramEnd"/>
      <w:r w:rsidRPr="00DC00F0">
        <w:rPr>
          <w:sz w:val="28"/>
          <w:szCs w:val="28"/>
        </w:rPr>
        <w:t xml:space="preserve"> и даже сам факт, не откажут ли гражданину в ее начислении.</w:t>
      </w:r>
    </w:p>
    <w:p w:rsidR="00DC00F0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DC00F0">
        <w:rPr>
          <w:sz w:val="28"/>
          <w:szCs w:val="28"/>
        </w:rPr>
        <w:t>Работник,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 Обратите внимание, у большинства банков проценты по кредитам зависят от формы подтверждения платежеспособности. Наиболее лояльные условия будут для тех, кто принесет 2-НДФЛ с хорошей зарплатой. Остальные получат бо</w:t>
      </w:r>
      <w:r w:rsidR="00AE43D2">
        <w:rPr>
          <w:sz w:val="28"/>
          <w:szCs w:val="28"/>
        </w:rPr>
        <w:t>лее высокие проценты по кредиту.</w:t>
      </w:r>
    </w:p>
    <w:p w:rsidR="00AE43D2" w:rsidRPr="00333D7E" w:rsidRDefault="00AE43D2" w:rsidP="00AE43D2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33D7E">
        <w:rPr>
          <w:rFonts w:ascii="Times New Roman" w:hAnsi="Times New Roman" w:cs="Times New Roman"/>
          <w:sz w:val="28"/>
          <w:szCs w:val="28"/>
        </w:rPr>
        <w:t>Граждане, получающие «серую» зарплату, не могут в полном объеме воспользоваться предоставленным государством правом, 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услуг.</w:t>
      </w:r>
    </w:p>
    <w:p w:rsidR="00533030" w:rsidRDefault="00533030" w:rsidP="00533030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E93D2C" w:rsidRDefault="00E93D2C" w:rsidP="00533030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57B1CB" wp14:editId="354CA6F7">
            <wp:extent cx="2867032" cy="215037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42" cy="215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0F0" w:rsidRPr="00333D7E" w:rsidRDefault="00DC00F0" w:rsidP="00AE43D2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33D7E">
        <w:rPr>
          <w:rFonts w:ascii="Times New Roman" w:hAnsi="Times New Roman" w:cs="Times New Roman"/>
          <w:bCs/>
          <w:sz w:val="28"/>
          <w:szCs w:val="28"/>
        </w:rPr>
        <w:t>Также работник теряет при получении  «серой» зарплаты:</w:t>
      </w:r>
    </w:p>
    <w:p w:rsidR="00DC00F0" w:rsidRPr="00333D7E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333D7E">
        <w:rPr>
          <w:sz w:val="28"/>
          <w:szCs w:val="28"/>
        </w:rPr>
        <w:t>- право на возмещение в полном объеме вреда, причиненного работнику в связи с исполнением  им трудовых обязанностей, и компенсацию морального вреда в порядке, установленном трудовым законодательством;</w:t>
      </w:r>
    </w:p>
    <w:p w:rsidR="00DC00F0" w:rsidRPr="00333D7E" w:rsidRDefault="00AE43D2" w:rsidP="00DC00F0">
      <w:pPr>
        <w:pStyle w:val="ConsPlusNormal"/>
        <w:ind w:firstLine="709"/>
        <w:jc w:val="both"/>
        <w:rPr>
          <w:sz w:val="28"/>
          <w:szCs w:val="28"/>
        </w:rPr>
      </w:pPr>
      <w:r w:rsidRPr="00333D7E">
        <w:rPr>
          <w:sz w:val="28"/>
          <w:szCs w:val="28"/>
        </w:rPr>
        <w:t xml:space="preserve">- </w:t>
      </w:r>
      <w:r w:rsidR="00DC00F0" w:rsidRPr="00333D7E">
        <w:rPr>
          <w:sz w:val="28"/>
          <w:szCs w:val="28"/>
        </w:rPr>
        <w:t>выплаты в полном объеме по обязательному социальному страхованию в случаях, предусмотренных федеральными законами;</w:t>
      </w:r>
    </w:p>
    <w:p w:rsidR="00DC00F0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333D7E">
        <w:rPr>
          <w:sz w:val="28"/>
          <w:szCs w:val="28"/>
        </w:rPr>
        <w:t>-уменьшается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 при направлении в служебные командировки; при переезде на работу в другую местность; при совмещении работы с обучением; при вынужденном прекращении работы не по вине работника; в связи с незаконным увольнением, задержкой по вине работодателя выдачи трудовой книжки при увольнении работника; при расторжении трудового договора в связи с ликвидацией организации; при сокращении численности или штата работников организации; при переводе на нижеоплачиваемую работу, в связи с профессиональным заболеванием и др.</w:t>
      </w:r>
    </w:p>
    <w:p w:rsidR="009C4D9D" w:rsidRPr="003C407A" w:rsidRDefault="009C4D9D" w:rsidP="002D2EC3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EC3" w:rsidRDefault="002D2EC3" w:rsidP="002D2EC3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4</w:t>
      </w:r>
    </w:p>
    <w:p w:rsidR="002D2EC3" w:rsidRPr="00333D7E" w:rsidRDefault="002D2EC3" w:rsidP="002D2EC3">
      <w:pPr>
        <w:pStyle w:val="ConsPlusNormal"/>
        <w:spacing w:after="24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68DAB9" wp14:editId="419BA653">
            <wp:extent cx="2714625" cy="203606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89" cy="2035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0F0" w:rsidRPr="00333D7E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333D7E">
        <w:rPr>
          <w:sz w:val="28"/>
          <w:szCs w:val="28"/>
        </w:rPr>
        <w:t xml:space="preserve">Несмотря на то, что налоги с зарплат работников уплачивает работодатель, если дело дойдет до суда, работнику необходимо быть готовым к доказыванию своей непричастности к уклонению от уплаты налогов. Ответственность физического лица за указанное деяние установлена </w:t>
      </w:r>
      <w:hyperlink r:id="rId11" w:history="1">
        <w:r w:rsidRPr="00333D7E">
          <w:rPr>
            <w:sz w:val="28"/>
            <w:szCs w:val="28"/>
          </w:rPr>
          <w:t>ст. 122</w:t>
        </w:r>
      </w:hyperlink>
      <w:r w:rsidRPr="00333D7E">
        <w:rPr>
          <w:sz w:val="28"/>
          <w:szCs w:val="28"/>
        </w:rPr>
        <w:t xml:space="preserve"> Налогового кодекса РФ и </w:t>
      </w:r>
      <w:hyperlink r:id="rId12" w:history="1">
        <w:r w:rsidRPr="00333D7E">
          <w:rPr>
            <w:sz w:val="28"/>
            <w:szCs w:val="28"/>
          </w:rPr>
          <w:t>ст. 198</w:t>
        </w:r>
      </w:hyperlink>
      <w:r w:rsidRPr="00333D7E">
        <w:rPr>
          <w:sz w:val="28"/>
          <w:szCs w:val="28"/>
        </w:rPr>
        <w:t xml:space="preserve"> Уголовного кодекса РФ.</w:t>
      </w:r>
    </w:p>
    <w:p w:rsidR="00DC00F0" w:rsidRPr="00333D7E" w:rsidRDefault="00DC00F0" w:rsidP="00DC00F0">
      <w:pPr>
        <w:pStyle w:val="ConsPlusNormal"/>
        <w:ind w:firstLine="709"/>
        <w:jc w:val="both"/>
        <w:rPr>
          <w:sz w:val="28"/>
          <w:szCs w:val="28"/>
        </w:rPr>
      </w:pPr>
      <w:r w:rsidRPr="00333D7E">
        <w:rPr>
          <w:sz w:val="28"/>
          <w:szCs w:val="28"/>
        </w:rPr>
        <w:t xml:space="preserve">Согласно </w:t>
      </w:r>
      <w:hyperlink r:id="rId13" w:history="1">
        <w:r w:rsidRPr="00333D7E">
          <w:rPr>
            <w:sz w:val="28"/>
            <w:szCs w:val="28"/>
          </w:rPr>
          <w:t>ст. 122</w:t>
        </w:r>
      </w:hyperlink>
      <w:r w:rsidRPr="00333D7E">
        <w:rPr>
          <w:sz w:val="28"/>
          <w:szCs w:val="28"/>
        </w:rPr>
        <w:t xml:space="preserve"> Налогового кодекса РФ штраф за неуплату налогов может составлять от 20 до 40 % от неуплаченной суммы.</w:t>
      </w:r>
    </w:p>
    <w:p w:rsidR="00DC00F0" w:rsidRPr="00333D7E" w:rsidRDefault="00DC00F0" w:rsidP="00AF05AC">
      <w:pPr>
        <w:pStyle w:val="ConsPlusNormal"/>
        <w:spacing w:after="240"/>
        <w:ind w:firstLine="709"/>
        <w:jc w:val="both"/>
        <w:rPr>
          <w:sz w:val="28"/>
          <w:szCs w:val="28"/>
        </w:rPr>
      </w:pPr>
      <w:proofErr w:type="gramStart"/>
      <w:r w:rsidRPr="00333D7E">
        <w:rPr>
          <w:sz w:val="28"/>
          <w:szCs w:val="28"/>
        </w:rPr>
        <w:t xml:space="preserve">Согласно </w:t>
      </w:r>
      <w:hyperlink r:id="rId14" w:history="1">
        <w:r w:rsidRPr="00333D7E">
          <w:rPr>
            <w:sz w:val="28"/>
            <w:szCs w:val="28"/>
          </w:rPr>
          <w:t>ст. 198</w:t>
        </w:r>
      </w:hyperlink>
      <w:r w:rsidRPr="00333D7E">
        <w:rPr>
          <w:sz w:val="28"/>
          <w:szCs w:val="28"/>
        </w:rPr>
        <w:t xml:space="preserve"> Уголовного кодекса РФ уклонение от уплаты налогов путем непредставления налоговой декларации или иных документов, представление которых в соответствии с </w:t>
      </w:r>
      <w:hyperlink r:id="rId15" w:history="1">
        <w:r w:rsidRPr="00333D7E">
          <w:rPr>
            <w:sz w:val="28"/>
            <w:szCs w:val="28"/>
          </w:rPr>
          <w:t>законодательством</w:t>
        </w:r>
      </w:hyperlink>
      <w:r w:rsidRPr="00333D7E">
        <w:rPr>
          <w:sz w:val="28"/>
          <w:szCs w:val="28"/>
        </w:rPr>
        <w:t xml:space="preserve"> Российской Федерации о налогах и сборах является обязательным, наказывается штрафом в размере от ста тысяч до трехсот тысяч рублей, или в размере заработной платы, или иного дохода осужденного за период от одного года до двух лет, либо</w:t>
      </w:r>
      <w:proofErr w:type="gramEnd"/>
      <w:r w:rsidRPr="00333D7E">
        <w:rPr>
          <w:sz w:val="28"/>
          <w:szCs w:val="28"/>
        </w:rPr>
        <w:t xml:space="preserve"> принудительными работами на срок до одного года, либо арестом на срок до шести месяцев, либо лишением свободы на срок до одного года.</w:t>
      </w:r>
    </w:p>
    <w:p w:rsidR="00DC00F0" w:rsidRPr="003C407A" w:rsidRDefault="00DC00F0" w:rsidP="00943F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7E">
        <w:rPr>
          <w:rFonts w:ascii="Times New Roman" w:hAnsi="Times New Roman" w:cs="Times New Roman"/>
          <w:sz w:val="28"/>
          <w:szCs w:val="28"/>
        </w:rPr>
        <w:t>Что делать, если работник</w:t>
      </w:r>
      <w:r w:rsidRPr="00DC00F0">
        <w:rPr>
          <w:rFonts w:ascii="Times New Roman" w:hAnsi="Times New Roman" w:cs="Times New Roman"/>
          <w:sz w:val="28"/>
          <w:szCs w:val="28"/>
        </w:rPr>
        <w:t xml:space="preserve"> столкнулся с проблемой выплаты «серой» заработной платы?</w:t>
      </w:r>
      <w:r w:rsidRPr="00DC0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F0">
        <w:rPr>
          <w:rFonts w:ascii="Times New Roman" w:hAnsi="Times New Roman" w:cs="Times New Roman"/>
          <w:sz w:val="28"/>
          <w:szCs w:val="28"/>
        </w:rPr>
        <w:t>Это может быть и невыплата зарплаты, и нарушения трудового законодательства, и незаконное увольнение, и отказ в заключени</w:t>
      </w:r>
      <w:proofErr w:type="gramStart"/>
      <w:r w:rsidRPr="00DC00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00F0">
        <w:rPr>
          <w:rFonts w:ascii="Times New Roman" w:hAnsi="Times New Roman" w:cs="Times New Roman"/>
          <w:sz w:val="28"/>
          <w:szCs w:val="28"/>
        </w:rPr>
        <w:t xml:space="preserve"> договора, и неоплата отпуска по беременности и родам.</w:t>
      </w:r>
    </w:p>
    <w:p w:rsidR="009C4D9D" w:rsidRPr="009C4D9D" w:rsidRDefault="009C4D9D" w:rsidP="009C4D9D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:rsidR="009C4D9D" w:rsidRPr="009C4D9D" w:rsidRDefault="00341613" w:rsidP="00943F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1D7DE">
            <wp:extent cx="2984361" cy="223837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14" cy="2238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0F0" w:rsidRDefault="00DC00F0" w:rsidP="00943F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F0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электронной форме можно обратиться в Федеральную службу по труду и занятости. На сайте </w:t>
      </w:r>
      <w:proofErr w:type="spellStart"/>
      <w:r w:rsidRPr="00DC00F0"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 w:rsidRPr="00DC00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00F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C00F0">
        <w:rPr>
          <w:rFonts w:ascii="Times New Roman" w:hAnsi="Times New Roman" w:cs="Times New Roman"/>
          <w:sz w:val="28"/>
          <w:szCs w:val="28"/>
        </w:rPr>
        <w:t xml:space="preserve"> есть специальная форма, позволяющая сформулировать проблему. По факту  уклонения  работодателя от уплаты налогов можно направить электронное обращение в ФНС России (</w:t>
      </w:r>
      <w:hyperlink r:id="rId17" w:history="1"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522A2" w:rsidRPr="00D01D9F">
          <w:rPr>
            <w:rStyle w:val="a8"/>
            <w:rFonts w:ascii="Times New Roman" w:hAnsi="Times New Roman" w:cs="Times New Roman"/>
            <w:sz w:val="28"/>
            <w:szCs w:val="28"/>
          </w:rPr>
          <w:t>)</w:t>
        </w:r>
      </w:hyperlink>
      <w:r w:rsidRPr="00DC00F0">
        <w:rPr>
          <w:rFonts w:ascii="Times New Roman" w:hAnsi="Times New Roman" w:cs="Times New Roman"/>
          <w:sz w:val="28"/>
          <w:szCs w:val="28"/>
        </w:rPr>
        <w:t>, либо в правоохранительные органы.</w:t>
      </w:r>
    </w:p>
    <w:p w:rsidR="00AE43D2" w:rsidRPr="00333D7E" w:rsidRDefault="00AE43D2" w:rsidP="00F522A2">
      <w:pPr>
        <w:pStyle w:val="ac"/>
        <w:spacing w:after="240"/>
        <w:ind w:firstLine="567"/>
        <w:jc w:val="both"/>
        <w:rPr>
          <w:sz w:val="28"/>
          <w:szCs w:val="28"/>
        </w:rPr>
      </w:pPr>
      <w:r w:rsidRPr="00333D7E">
        <w:rPr>
          <w:sz w:val="28"/>
          <w:szCs w:val="28"/>
        </w:rPr>
        <w:t xml:space="preserve">В целях </w:t>
      </w:r>
      <w:proofErr w:type="gramStart"/>
      <w:r w:rsidRPr="00333D7E">
        <w:rPr>
          <w:sz w:val="28"/>
          <w:szCs w:val="28"/>
        </w:rPr>
        <w:t>контроля за</w:t>
      </w:r>
      <w:proofErr w:type="gramEnd"/>
      <w:r w:rsidRPr="00333D7E">
        <w:rPr>
          <w:sz w:val="28"/>
          <w:szCs w:val="28"/>
        </w:rPr>
        <w:t xml:space="preserve"> полнотой поступления налога на доходы физических лиц и страховых взносов, при Администрациях муниципальных районов и городского округа Новгородской области, а также при Правительстве Новгородской области  созданы межведомственные комиссии по легализации налоговой базы. В состав комиссий помимо налоговых органов входят представители Прокуратуры, органов МВД, Пенсионного фонда, Фонда социального страхования, Государственной инспекции по труду. Одним из главных вопросов рассмотрения на межведомственных комиссиях является своевременная и полная уплата НДФЛ и страховых взносов налоговыми агентами; а также усилен контроль в отношении организаций, требующих легализации начисленной заработной платы (ФОТ), имеющих задолженность по НДФЛ и </w:t>
      </w:r>
      <w:proofErr w:type="gramStart"/>
      <w:r w:rsidRPr="00333D7E">
        <w:rPr>
          <w:sz w:val="28"/>
          <w:szCs w:val="28"/>
        </w:rPr>
        <w:t>СВ</w:t>
      </w:r>
      <w:proofErr w:type="gramEnd"/>
      <w:r w:rsidRPr="00333D7E">
        <w:rPr>
          <w:sz w:val="28"/>
          <w:szCs w:val="28"/>
        </w:rPr>
        <w:t xml:space="preserve"> за текущий год и предшествующие периоды. </w:t>
      </w:r>
    </w:p>
    <w:p w:rsidR="00AE43D2" w:rsidRPr="00333D7E" w:rsidRDefault="00AE43D2" w:rsidP="00F522A2">
      <w:pPr>
        <w:pStyle w:val="ac"/>
        <w:ind w:firstLine="567"/>
        <w:jc w:val="both"/>
        <w:rPr>
          <w:sz w:val="28"/>
          <w:szCs w:val="28"/>
        </w:rPr>
      </w:pPr>
      <w:r w:rsidRPr="00333D7E">
        <w:rPr>
          <w:sz w:val="28"/>
          <w:szCs w:val="28"/>
        </w:rPr>
        <w:t>Ежегодно налоговыми органами формируется перечень работодателей, выплачивающих низкую заработную плату, в отношении которых ведется мониторинг.</w:t>
      </w:r>
    </w:p>
    <w:p w:rsidR="00FE5774" w:rsidRPr="00333D7E" w:rsidRDefault="00C820A5" w:rsidP="00F522A2">
      <w:pPr>
        <w:tabs>
          <w:tab w:val="left" w:pos="1092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D7E">
        <w:rPr>
          <w:rFonts w:ascii="Times New Roman" w:hAnsi="Times New Roman" w:cs="Times New Roman"/>
          <w:sz w:val="28"/>
          <w:szCs w:val="28"/>
        </w:rPr>
        <w:t xml:space="preserve">За январь-апрель 2022 года проведено 49 заседание комиссий по легализации налоговой базы, а также комиссий по налоговой и платежной дисциплине, заслушано 686 налогоплательщиков. В результате </w:t>
      </w:r>
      <w:proofErr w:type="gramStart"/>
      <w:r w:rsidRPr="00333D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3D7E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комиссий в бюджеты различного уровня поступило 84,4 млн. рублей.</w:t>
      </w:r>
      <w:r w:rsidR="002C5A84" w:rsidRPr="00333D7E">
        <w:rPr>
          <w:rFonts w:ascii="Times New Roman" w:hAnsi="Times New Roman" w:cs="Times New Roman"/>
          <w:sz w:val="28"/>
          <w:szCs w:val="28"/>
        </w:rPr>
        <w:tab/>
      </w:r>
    </w:p>
    <w:p w:rsidR="003D7A0B" w:rsidRDefault="003D7A0B" w:rsidP="00763478">
      <w:pPr>
        <w:tabs>
          <w:tab w:val="left" w:pos="1092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2D18">
        <w:rPr>
          <w:rFonts w:ascii="Times New Roman" w:hAnsi="Times New Roman" w:cs="Times New Roman"/>
          <w:b/>
          <w:sz w:val="28"/>
          <w:szCs w:val="28"/>
        </w:rPr>
        <w:t>Расчет  6-НДФЛ:</w:t>
      </w:r>
    </w:p>
    <w:p w:rsidR="00715D2C" w:rsidRDefault="00715D2C" w:rsidP="00715D2C">
      <w:pPr>
        <w:spacing w:after="240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/Слайд 7</w:t>
      </w:r>
    </w:p>
    <w:p w:rsidR="00715D2C" w:rsidRPr="00715D2C" w:rsidRDefault="00715D2C" w:rsidP="00715D2C">
      <w:pPr>
        <w:spacing w:after="24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6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614A1">
            <wp:extent cx="2603379" cy="1952625"/>
            <wp:effectExtent l="19050" t="19050" r="2603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61" cy="19529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41613">
        <w:rPr>
          <w:rFonts w:ascii="Times New Roman" w:hAnsi="Times New Roman" w:cs="Times New Roman"/>
          <w:sz w:val="28"/>
          <w:szCs w:val="28"/>
        </w:rPr>
        <w:t xml:space="preserve">   </w:t>
      </w:r>
      <w:r w:rsidR="003416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6D9DE">
            <wp:extent cx="2571750" cy="1928902"/>
            <wp:effectExtent l="19050" t="19050" r="19050" b="146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58" cy="19314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2D18" w:rsidRPr="003E2D18" w:rsidRDefault="003E2D18" w:rsidP="003E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18">
        <w:rPr>
          <w:rFonts w:ascii="Times New Roman" w:hAnsi="Times New Roman" w:cs="Times New Roman"/>
          <w:sz w:val="28"/>
          <w:szCs w:val="28"/>
        </w:rPr>
        <w:t xml:space="preserve">Форма нового (объединенного) отчета по НДФЛ (состоящая из расчета сумм налога, исчисленных и удержанных налоговым агентом </w:t>
      </w:r>
      <w:hyperlink r:id="rId20" w:history="1">
        <w:r w:rsidRPr="003E2D18">
          <w:rPr>
            <w:rFonts w:ascii="Times New Roman" w:hAnsi="Times New Roman" w:cs="Times New Roman"/>
            <w:color w:val="0000FF"/>
            <w:sz w:val="28"/>
            <w:szCs w:val="28"/>
          </w:rPr>
          <w:t>(форма 6-НДФЛ)</w:t>
        </w:r>
      </w:hyperlink>
      <w:r w:rsidRPr="003E2D18">
        <w:rPr>
          <w:rFonts w:ascii="Times New Roman" w:hAnsi="Times New Roman" w:cs="Times New Roman"/>
          <w:sz w:val="28"/>
          <w:szCs w:val="28"/>
        </w:rPr>
        <w:t xml:space="preserve">, и справки о полученных физическим лицом доходах и удержанных суммах НДФЛ (справка </w:t>
      </w:r>
      <w:hyperlink r:id="rId21" w:history="1">
        <w:r w:rsidRPr="003E2D18">
          <w:rPr>
            <w:rFonts w:ascii="Times New Roman" w:hAnsi="Times New Roman" w:cs="Times New Roman"/>
            <w:color w:val="0000FF"/>
            <w:sz w:val="28"/>
            <w:szCs w:val="28"/>
          </w:rPr>
          <w:t>2-НДФЛ</w:t>
        </w:r>
      </w:hyperlink>
      <w:r w:rsidRPr="003E2D18">
        <w:rPr>
          <w:rFonts w:ascii="Times New Roman" w:hAnsi="Times New Roman" w:cs="Times New Roman"/>
          <w:sz w:val="28"/>
          <w:szCs w:val="28"/>
        </w:rPr>
        <w:t xml:space="preserve">)), </w:t>
      </w:r>
      <w:hyperlink r:id="rId22" w:history="1">
        <w:r w:rsidRPr="003E2D1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E2D18">
        <w:rPr>
          <w:rFonts w:ascii="Times New Roman" w:hAnsi="Times New Roman" w:cs="Times New Roman"/>
          <w:sz w:val="28"/>
          <w:szCs w:val="28"/>
        </w:rPr>
        <w:t xml:space="preserve"> заполнения, а также </w:t>
      </w:r>
      <w:hyperlink r:id="rId23" w:history="1">
        <w:r w:rsidRPr="003E2D18">
          <w:rPr>
            <w:rFonts w:ascii="Times New Roman" w:hAnsi="Times New Roman" w:cs="Times New Roman"/>
            <w:color w:val="0000FF"/>
            <w:sz w:val="28"/>
            <w:szCs w:val="28"/>
          </w:rPr>
          <w:t>Формат</w:t>
        </w:r>
      </w:hyperlink>
      <w:r w:rsidRPr="003E2D18">
        <w:rPr>
          <w:rFonts w:ascii="Times New Roman" w:hAnsi="Times New Roman" w:cs="Times New Roman"/>
          <w:sz w:val="28"/>
          <w:szCs w:val="28"/>
        </w:rPr>
        <w:t xml:space="preserve"> представления данного </w:t>
      </w:r>
      <w:r w:rsidRPr="003E2D18">
        <w:rPr>
          <w:rFonts w:ascii="Times New Roman" w:hAnsi="Times New Roman" w:cs="Times New Roman"/>
          <w:sz w:val="28"/>
          <w:szCs w:val="28"/>
        </w:rPr>
        <w:lastRenderedPageBreak/>
        <w:t>отчета в электронном виде утверждены Приказом ФНС России от 15.10.2020 N ЕД-7-11/753@.</w:t>
      </w:r>
      <w:proofErr w:type="gramEnd"/>
    </w:p>
    <w:p w:rsidR="00A865DE" w:rsidRDefault="003E2D18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E2D18">
        <w:rPr>
          <w:color w:val="000000"/>
          <w:sz w:val="28"/>
          <w:szCs w:val="28"/>
          <w:shd w:val="clear" w:color="auto" w:fill="FFFFFF"/>
        </w:rPr>
        <w:t>Главное изменение — справку 2-НДФЛ включили в 6-НДФЛ. Отдельная форма, утвержденная </w:t>
      </w:r>
      <w:hyperlink r:id="rId24" w:tgtFrame="_blank" w:history="1">
        <w:r w:rsidRPr="003E2D18">
          <w:rPr>
            <w:rStyle w:val="a8"/>
            <w:color w:val="9E0000"/>
            <w:sz w:val="28"/>
            <w:szCs w:val="28"/>
            <w:bdr w:val="none" w:sz="0" w:space="0" w:color="auto" w:frame="1"/>
            <w:shd w:val="clear" w:color="auto" w:fill="FFFFFF"/>
          </w:rPr>
          <w:t>приказом ФНС от 02.10.2018 № ММВ-7-11/566@</w:t>
        </w:r>
      </w:hyperlink>
      <w:r w:rsidRPr="003E2D18">
        <w:rPr>
          <w:color w:val="000000"/>
          <w:sz w:val="28"/>
          <w:szCs w:val="28"/>
          <w:shd w:val="clear" w:color="auto" w:fill="FFFFFF"/>
        </w:rPr>
        <w:t xml:space="preserve"> , утратила силу. Разделы 1 и 2 формы 6-НДФЛ поменяли местами. Таким </w:t>
      </w:r>
      <w:proofErr w:type="gramStart"/>
      <w:r w:rsidRPr="003E2D18"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3E2D18">
        <w:rPr>
          <w:color w:val="000000"/>
          <w:sz w:val="28"/>
          <w:szCs w:val="28"/>
          <w:shd w:val="clear" w:color="auto" w:fill="FFFFFF"/>
        </w:rPr>
        <w:t xml:space="preserve"> очередность разделов привели в соответствие с другими декларациями. С 2021 года таблица обязательств находится в разделе 1 , а обобщенные данные о доходах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2D18">
        <w:rPr>
          <w:color w:val="000000"/>
          <w:sz w:val="28"/>
          <w:szCs w:val="28"/>
          <w:shd w:val="clear" w:color="auto" w:fill="FFFFFF"/>
        </w:rPr>
        <w:t>и расчетные суммы НДФЛ — в разделе 2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65DE">
        <w:rPr>
          <w:b/>
          <w:bCs/>
          <w:sz w:val="28"/>
          <w:szCs w:val="28"/>
          <w:bdr w:val="none" w:sz="0" w:space="0" w:color="auto" w:frame="1"/>
        </w:rPr>
        <w:t>Кто должен сдавать.</w:t>
      </w:r>
      <w:r w:rsidRPr="00A865DE">
        <w:rPr>
          <w:sz w:val="28"/>
          <w:szCs w:val="28"/>
        </w:rPr>
        <w:t> Сдавать 6-НДФЛ должны компании и ИП, которые в течение года начисляли или выплачивали доходы физлицам (работникам, исполнителям по ГПХ, учредителям). Даже если была единственная выплата в январе, отчеты придется сдавать до конца года.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65DE">
        <w:rPr>
          <w:b/>
          <w:bCs/>
          <w:sz w:val="28"/>
          <w:szCs w:val="28"/>
          <w:bdr w:val="none" w:sz="0" w:space="0" w:color="auto" w:frame="1"/>
        </w:rPr>
        <w:t>Сроки:</w:t>
      </w:r>
    </w:p>
    <w:p w:rsidR="00A865DE" w:rsidRPr="00A865DE" w:rsidRDefault="00A865DE" w:rsidP="00A865DE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65DE">
        <w:rPr>
          <w:rFonts w:ascii="Times New Roman" w:hAnsi="Times New Roman" w:cs="Times New Roman"/>
          <w:sz w:val="28"/>
          <w:szCs w:val="28"/>
        </w:rPr>
        <w:t>за I квартал, полугодие и 9 месяцев — </w:t>
      </w:r>
      <w:hyperlink r:id="rId25" w:anchor="dst11802" w:tgtFrame="_blank" w:tooltip="п. 2 ст. 230 НК РФ" w:history="1">
        <w:r w:rsidRPr="00A865DE">
          <w:rPr>
            <w:rStyle w:val="a8"/>
            <w:rFonts w:ascii="Times New Roman" w:hAnsi="Times New Roman" w:cs="Times New Roman"/>
            <w:color w:val="666666"/>
            <w:sz w:val="28"/>
            <w:szCs w:val="28"/>
            <w:bdr w:val="none" w:sz="0" w:space="0" w:color="auto" w:frame="1"/>
          </w:rPr>
          <w:t>в течение месяца</w:t>
        </w:r>
      </w:hyperlink>
      <w:r w:rsidRPr="00A865DE">
        <w:rPr>
          <w:rFonts w:ascii="Times New Roman" w:hAnsi="Times New Roman" w:cs="Times New Roman"/>
          <w:sz w:val="28"/>
          <w:szCs w:val="28"/>
        </w:rPr>
        <w:t>, следующего за отчетным периодом;</w:t>
      </w:r>
    </w:p>
    <w:p w:rsidR="00A865DE" w:rsidRPr="00A865DE" w:rsidRDefault="00A865DE" w:rsidP="00A865DE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65DE">
        <w:rPr>
          <w:rFonts w:ascii="Times New Roman" w:hAnsi="Times New Roman" w:cs="Times New Roman"/>
          <w:sz w:val="28"/>
          <w:szCs w:val="28"/>
        </w:rPr>
        <w:t>за год — не позднее </w:t>
      </w:r>
      <w:hyperlink r:id="rId26" w:anchor="dst11802" w:tgtFrame="_blank" w:tooltip="п. 2 ст. 230НК РФ" w:history="1">
        <w:r w:rsidRPr="00A865DE">
          <w:rPr>
            <w:rStyle w:val="a8"/>
            <w:rFonts w:ascii="Times New Roman" w:hAnsi="Times New Roman" w:cs="Times New Roman"/>
            <w:color w:val="666666"/>
            <w:sz w:val="28"/>
            <w:szCs w:val="28"/>
            <w:bdr w:val="none" w:sz="0" w:space="0" w:color="auto" w:frame="1"/>
          </w:rPr>
          <w:t>1 марта</w:t>
        </w:r>
      </w:hyperlink>
      <w:r w:rsidRPr="00A865DE">
        <w:rPr>
          <w:rFonts w:ascii="Times New Roman" w:hAnsi="Times New Roman" w:cs="Times New Roman"/>
          <w:sz w:val="28"/>
          <w:szCs w:val="28"/>
        </w:rPr>
        <w:t> следующего года.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65DE">
        <w:rPr>
          <w:sz w:val="28"/>
          <w:szCs w:val="28"/>
        </w:rPr>
        <w:t>Если последний день срока выпадает на выходной, то </w:t>
      </w:r>
      <w:hyperlink r:id="rId27" w:tgtFrame="_blank" w:tooltip="п. 7 ст. 6.1 НК РФ" w:history="1">
        <w:r w:rsidRPr="00A865DE">
          <w:rPr>
            <w:rStyle w:val="a8"/>
            <w:color w:val="666666"/>
            <w:sz w:val="28"/>
            <w:szCs w:val="28"/>
            <w:bdr w:val="none" w:sz="0" w:space="0" w:color="auto" w:frame="1"/>
          </w:rPr>
          <w:t>срок сдвигается</w:t>
        </w:r>
      </w:hyperlink>
      <w:r w:rsidRPr="00A865DE">
        <w:rPr>
          <w:sz w:val="28"/>
          <w:szCs w:val="28"/>
        </w:rPr>
        <w:t> на ближайший следующий за ним рабочий день.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65DE">
        <w:rPr>
          <w:sz w:val="28"/>
          <w:szCs w:val="28"/>
        </w:rPr>
        <w:t>За нарушение срока сдачи 6-НДФЛ — </w:t>
      </w:r>
      <w:hyperlink r:id="rId28" w:tgtFrame="_blank" w:tooltip="п. 1.2 ст. 126 НК РФ" w:history="1">
        <w:r w:rsidRPr="00A865DE">
          <w:rPr>
            <w:rStyle w:val="a8"/>
            <w:color w:val="666666"/>
            <w:sz w:val="28"/>
            <w:szCs w:val="28"/>
            <w:bdr w:val="none" w:sz="0" w:space="0" w:color="auto" w:frame="1"/>
          </w:rPr>
          <w:t>1000 рублей</w:t>
        </w:r>
      </w:hyperlink>
      <w:r w:rsidRPr="00A865DE">
        <w:rPr>
          <w:sz w:val="28"/>
          <w:szCs w:val="28"/>
        </w:rPr>
        <w:t> за каждый месяц просрочки (п. 1.2 ст. 126 НК РФ). Если опоздали более чем на 20 дней, налогов</w:t>
      </w:r>
      <w:r>
        <w:rPr>
          <w:sz w:val="28"/>
          <w:szCs w:val="28"/>
        </w:rPr>
        <w:t>ый орган</w:t>
      </w:r>
      <w:r w:rsidRPr="00A865DE">
        <w:rPr>
          <w:sz w:val="28"/>
          <w:szCs w:val="28"/>
        </w:rPr>
        <w:t xml:space="preserve"> вправе заблокировать счета в банке и переводы электронных денежных средств.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65DE">
        <w:rPr>
          <w:b/>
          <w:bCs/>
          <w:sz w:val="28"/>
          <w:szCs w:val="28"/>
          <w:bdr w:val="none" w:sz="0" w:space="0" w:color="auto" w:frame="1"/>
        </w:rPr>
        <w:t>Куда сдавать.</w:t>
      </w:r>
      <w:r w:rsidRPr="00A865DE">
        <w:rPr>
          <w:sz w:val="28"/>
          <w:szCs w:val="28"/>
        </w:rPr>
        <w:t> </w:t>
      </w:r>
      <w:hyperlink r:id="rId29" w:anchor="dst11802" w:tgtFrame="_blank" w:tooltip="п. 2 ст. 230 НК РФ" w:history="1">
        <w:r w:rsidRPr="00A865DE">
          <w:rPr>
            <w:rStyle w:val="a8"/>
            <w:color w:val="666666"/>
            <w:sz w:val="28"/>
            <w:szCs w:val="28"/>
            <w:bdr w:val="none" w:sz="0" w:space="0" w:color="auto" w:frame="1"/>
          </w:rPr>
          <w:t>Сдавать отчет</w:t>
        </w:r>
      </w:hyperlink>
      <w:r w:rsidRPr="00A865DE">
        <w:rPr>
          <w:sz w:val="28"/>
          <w:szCs w:val="28"/>
        </w:rPr>
        <w:t> и </w:t>
      </w:r>
      <w:hyperlink r:id="rId30" w:tgtFrame="_blank" w:tooltip="п. 7 ст. 226 НК РФ" w:history="1">
        <w:r w:rsidRPr="00A865DE">
          <w:rPr>
            <w:rStyle w:val="a8"/>
            <w:color w:val="666666"/>
            <w:sz w:val="28"/>
            <w:szCs w:val="28"/>
            <w:bdr w:val="none" w:sz="0" w:space="0" w:color="auto" w:frame="1"/>
          </w:rPr>
          <w:t>уплачивать НДФЛ</w:t>
        </w:r>
      </w:hyperlink>
      <w:r w:rsidRPr="00A865DE">
        <w:rPr>
          <w:sz w:val="28"/>
          <w:szCs w:val="28"/>
        </w:rPr>
        <w:t> нужно в </w:t>
      </w:r>
      <w:r>
        <w:rPr>
          <w:sz w:val="28"/>
          <w:szCs w:val="28"/>
        </w:rPr>
        <w:t>налоговый орган</w:t>
      </w:r>
      <w:r w:rsidRPr="00A865DE">
        <w:rPr>
          <w:sz w:val="28"/>
          <w:szCs w:val="28"/>
        </w:rPr>
        <w:t xml:space="preserve"> по месту учет</w:t>
      </w:r>
      <w:proofErr w:type="gramStart"/>
      <w:r w:rsidRPr="00A865DE">
        <w:rPr>
          <w:sz w:val="28"/>
          <w:szCs w:val="28"/>
        </w:rPr>
        <w:t>а ООО и</w:t>
      </w:r>
      <w:proofErr w:type="gramEnd"/>
      <w:r w:rsidRPr="00A865DE">
        <w:rPr>
          <w:sz w:val="28"/>
          <w:szCs w:val="28"/>
        </w:rPr>
        <w:t>ли ИП. Если есть обособленные подразделения, сдавать 6-НФДЛ нужно по каждому подразделению отдельно в </w:t>
      </w:r>
      <w:proofErr w:type="gramStart"/>
      <w:r w:rsidRPr="00A865DE">
        <w:rPr>
          <w:sz w:val="28"/>
          <w:szCs w:val="28"/>
        </w:rPr>
        <w:t>налоговую</w:t>
      </w:r>
      <w:proofErr w:type="gramEnd"/>
      <w:r w:rsidRPr="00A865DE">
        <w:rPr>
          <w:sz w:val="28"/>
          <w:szCs w:val="28"/>
        </w:rPr>
        <w:t xml:space="preserve"> по месту его регистрации или </w:t>
      </w:r>
      <w:hyperlink r:id="rId31" w:tgtFrame="_blank" w:tooltip="п. 2 ст. 230 НК РФ" w:history="1">
        <w:r w:rsidRPr="00A865DE">
          <w:rPr>
            <w:rStyle w:val="a8"/>
            <w:color w:val="666666"/>
            <w:sz w:val="28"/>
            <w:szCs w:val="28"/>
            <w:bdr w:val="none" w:sz="0" w:space="0" w:color="auto" w:frame="1"/>
          </w:rPr>
          <w:t>выбрать ответственное подразделение</w:t>
        </w:r>
      </w:hyperlink>
      <w:r w:rsidRPr="00A865DE">
        <w:rPr>
          <w:sz w:val="28"/>
          <w:szCs w:val="28"/>
        </w:rPr>
        <w:t>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65DE">
        <w:rPr>
          <w:sz w:val="28"/>
          <w:szCs w:val="28"/>
        </w:rPr>
        <w:t>Если по ошибке сдали 6-НДФЛ не в ту налоговую (например, отчет по </w:t>
      </w:r>
      <w:proofErr w:type="spellStart"/>
      <w:r w:rsidRPr="00A865DE">
        <w:rPr>
          <w:sz w:val="28"/>
          <w:szCs w:val="28"/>
        </w:rPr>
        <w:t>обособке</w:t>
      </w:r>
      <w:proofErr w:type="spellEnd"/>
      <w:r w:rsidRPr="00A865DE">
        <w:rPr>
          <w:sz w:val="28"/>
          <w:szCs w:val="28"/>
        </w:rPr>
        <w:t xml:space="preserve"> сдали в налоговую головной организации), </w:t>
      </w:r>
      <w:proofErr w:type="gramStart"/>
      <w:r w:rsidRPr="00A865DE">
        <w:rPr>
          <w:sz w:val="28"/>
          <w:szCs w:val="28"/>
        </w:rPr>
        <w:t>налоговая</w:t>
      </w:r>
      <w:proofErr w:type="gramEnd"/>
      <w:r w:rsidRPr="00A865DE">
        <w:rPr>
          <w:sz w:val="28"/>
          <w:szCs w:val="28"/>
        </w:rPr>
        <w:t xml:space="preserve"> не «засчитает» сдачу и назначит штраф.</w:t>
      </w:r>
    </w:p>
    <w:p w:rsidR="00A865DE" w:rsidRPr="00A865DE" w:rsidRDefault="00A865DE" w:rsidP="00A865DE">
      <w:pPr>
        <w:pStyle w:val="sbis-ruarticles--pb8"/>
        <w:spacing w:before="0" w:beforeAutospacing="0" w:after="0" w:afterAutospacing="0"/>
        <w:textAlignment w:val="baseline"/>
        <w:rPr>
          <w:sz w:val="28"/>
          <w:szCs w:val="28"/>
        </w:rPr>
      </w:pPr>
      <w:r w:rsidRPr="00A865DE">
        <w:rPr>
          <w:b/>
          <w:bCs/>
          <w:sz w:val="28"/>
          <w:szCs w:val="28"/>
          <w:bdr w:val="none" w:sz="0" w:space="0" w:color="auto" w:frame="1"/>
        </w:rPr>
        <w:t>Способ сдачи:</w:t>
      </w:r>
    </w:p>
    <w:p w:rsidR="00A865DE" w:rsidRPr="00A865DE" w:rsidRDefault="00A865DE" w:rsidP="00A865D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865DE">
        <w:rPr>
          <w:rFonts w:ascii="Times New Roman" w:hAnsi="Times New Roman" w:cs="Times New Roman"/>
          <w:sz w:val="28"/>
          <w:szCs w:val="28"/>
        </w:rPr>
        <w:t>На бумаге, если количество физлиц в отчете (строка 120) </w:t>
      </w:r>
      <w:hyperlink r:id="rId32" w:tgtFrame="_blank" w:tooltip="п. 2 ст. 230 НК РФ" w:history="1">
        <w:r w:rsidRPr="00A865DE">
          <w:rPr>
            <w:rStyle w:val="a8"/>
            <w:rFonts w:ascii="Times New Roman" w:hAnsi="Times New Roman" w:cs="Times New Roman"/>
            <w:color w:val="666666"/>
            <w:sz w:val="28"/>
            <w:szCs w:val="28"/>
            <w:bdr w:val="none" w:sz="0" w:space="0" w:color="auto" w:frame="1"/>
          </w:rPr>
          <w:t>не более 10 человек</w:t>
        </w:r>
      </w:hyperlink>
      <w:r w:rsidRPr="00A865DE">
        <w:rPr>
          <w:rFonts w:ascii="Times New Roman" w:hAnsi="Times New Roman" w:cs="Times New Roman"/>
          <w:sz w:val="28"/>
          <w:szCs w:val="28"/>
        </w:rPr>
        <w:t>.</w:t>
      </w:r>
    </w:p>
    <w:p w:rsidR="00A865DE" w:rsidRPr="00A865DE" w:rsidRDefault="00A865DE" w:rsidP="00A865D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865DE">
        <w:rPr>
          <w:rFonts w:ascii="Times New Roman" w:hAnsi="Times New Roman" w:cs="Times New Roman"/>
          <w:sz w:val="28"/>
          <w:szCs w:val="28"/>
        </w:rPr>
        <w:t>В электронном виде по ТКС — если более 10 человек.</w:t>
      </w:r>
    </w:p>
    <w:p w:rsidR="00A865DE" w:rsidRDefault="00A865DE" w:rsidP="00A865DE">
      <w:pPr>
        <w:pStyle w:val="a9"/>
        <w:spacing w:before="0" w:beforeAutospacing="0" w:after="0" w:afterAutospacing="0"/>
        <w:textAlignment w:val="baseline"/>
        <w:rPr>
          <w:sz w:val="28"/>
          <w:szCs w:val="28"/>
        </w:rPr>
      </w:pPr>
      <w:r w:rsidRPr="00A865DE">
        <w:rPr>
          <w:sz w:val="28"/>
          <w:szCs w:val="28"/>
        </w:rPr>
        <w:t xml:space="preserve">Штраф за отчет на бумаге вместо </w:t>
      </w:r>
      <w:proofErr w:type="gramStart"/>
      <w:r w:rsidRPr="00A865DE">
        <w:rPr>
          <w:sz w:val="28"/>
          <w:szCs w:val="28"/>
        </w:rPr>
        <w:t>электронного</w:t>
      </w:r>
      <w:proofErr w:type="gramEnd"/>
      <w:r w:rsidRPr="00A865DE">
        <w:rPr>
          <w:sz w:val="28"/>
          <w:szCs w:val="28"/>
        </w:rPr>
        <w:t> — </w:t>
      </w:r>
      <w:hyperlink r:id="rId33" w:tgtFrame="_blank" w:tooltip="ст. 119.1 НК РФ" w:history="1">
        <w:r w:rsidRPr="00A865DE">
          <w:rPr>
            <w:rStyle w:val="a8"/>
            <w:color w:val="666666"/>
            <w:sz w:val="28"/>
            <w:szCs w:val="28"/>
            <w:bdr w:val="none" w:sz="0" w:space="0" w:color="auto" w:frame="1"/>
          </w:rPr>
          <w:t>200 рублей</w:t>
        </w:r>
      </w:hyperlink>
      <w:r w:rsidRPr="00A865DE">
        <w:rPr>
          <w:sz w:val="28"/>
          <w:szCs w:val="28"/>
        </w:rPr>
        <w:t>.</w:t>
      </w:r>
    </w:p>
    <w:p w:rsidR="00A865DE" w:rsidRPr="00203BB0" w:rsidRDefault="00A865DE" w:rsidP="00A865DE">
      <w:pPr>
        <w:pStyle w:val="3"/>
        <w:spacing w:before="0" w:line="480" w:lineRule="atLeast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03BB0">
        <w:rPr>
          <w:rFonts w:ascii="Times New Roman" w:hAnsi="Times New Roman" w:cs="Times New Roman"/>
          <w:bCs w:val="0"/>
          <w:color w:val="000000"/>
          <w:sz w:val="28"/>
          <w:szCs w:val="28"/>
        </w:rPr>
        <w:t>Как накажут за ошибки</w:t>
      </w:r>
    </w:p>
    <w:p w:rsidR="00A865DE" w:rsidRPr="00A865DE" w:rsidRDefault="00CC2759" w:rsidP="00A865DE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организация отправит в налоговый орган недостоверные сведения 6-НДФЛ, ей грозит штраф в размере 500 рублей.</w:t>
      </w:r>
    </w:p>
    <w:p w:rsidR="0051465A" w:rsidRPr="007B12FD" w:rsidRDefault="0051465A" w:rsidP="0051465A">
      <w:pPr>
        <w:tabs>
          <w:tab w:val="left" w:pos="1092"/>
        </w:tabs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B12FD" w:rsidRDefault="007B12FD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FD" w:rsidRDefault="007B12FD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FD" w:rsidRDefault="007B12FD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FD" w:rsidRDefault="007B12FD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FD" w:rsidRDefault="007B12FD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FD" w:rsidRDefault="007B12FD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5E" w:rsidRDefault="00863C5E" w:rsidP="0051465A">
      <w:pPr>
        <w:tabs>
          <w:tab w:val="left" w:pos="1092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E">
        <w:rPr>
          <w:rFonts w:ascii="Times New Roman" w:hAnsi="Times New Roman" w:cs="Times New Roman"/>
          <w:b/>
          <w:sz w:val="28"/>
          <w:szCs w:val="28"/>
        </w:rPr>
        <w:lastRenderedPageBreak/>
        <w:t>Основные изменения по НДФЛ в 2022 году:</w:t>
      </w:r>
    </w:p>
    <w:p w:rsidR="0051465A" w:rsidRDefault="0051465A" w:rsidP="0051465A">
      <w:pPr>
        <w:tabs>
          <w:tab w:val="left" w:pos="1092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65A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7B12FD" w:rsidRPr="0051465A" w:rsidRDefault="0099751C" w:rsidP="0051465A">
      <w:pPr>
        <w:tabs>
          <w:tab w:val="left" w:pos="1092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975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E94AE0" wp14:editId="60EA1E28">
            <wp:extent cx="2577982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4" cy="193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63C5E" w:rsidRPr="00863C5E" w:rsidRDefault="00863C5E" w:rsidP="00863C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63C5E">
        <w:rPr>
          <w:rFonts w:ascii="Times New Roman" w:hAnsi="Times New Roman" w:cs="Times New Roman"/>
          <w:b/>
          <w:bCs/>
          <w:sz w:val="28"/>
          <w:szCs w:val="28"/>
        </w:rPr>
        <w:t>С 1 января уведомления о праве сотрудника на вычет инспекции передают работодателям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200"/>
        <w:gridCol w:w="180"/>
      </w:tblGrid>
      <w:tr w:rsidR="00863C5E" w:rsidRPr="00863C5E" w:rsidTr="004A6126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  <w:r w:rsidRPr="00863C5E">
              <w:rPr>
                <w:rFonts w:ascii="Times New Roman" w:hAnsi="Times New Roman" w:cs="Times New Roman"/>
                <w:noProof/>
                <w:color w:val="FFFCE1"/>
                <w:position w:val="-1"/>
                <w:sz w:val="28"/>
                <w:szCs w:val="28"/>
                <w:lang w:eastAsia="ru-RU"/>
              </w:rPr>
              <w:drawing>
                <wp:inline distT="0" distB="0" distL="0" distR="0" wp14:anchorId="26FE894A" wp14:editId="0DE5A8B0">
                  <wp:extent cx="114300" cy="142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20.04.2021 N 100-ФЗ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C5E" w:rsidRPr="00863C5E" w:rsidRDefault="00863C5E" w:rsidP="0086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E">
        <w:rPr>
          <w:rFonts w:ascii="Times New Roman" w:hAnsi="Times New Roman" w:cs="Times New Roman"/>
          <w:sz w:val="28"/>
          <w:szCs w:val="28"/>
        </w:rPr>
        <w:t xml:space="preserve">В 2022 году работодатели продолжают предоставлять </w:t>
      </w:r>
      <w:hyperlink r:id="rId36" w:history="1"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>социальные</w:t>
        </w:r>
      </w:hyperlink>
      <w:r w:rsidRPr="00863C5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>имущественные</w:t>
        </w:r>
      </w:hyperlink>
      <w:r w:rsidRPr="00863C5E">
        <w:rPr>
          <w:rFonts w:ascii="Times New Roman" w:hAnsi="Times New Roman" w:cs="Times New Roman"/>
          <w:sz w:val="28"/>
          <w:szCs w:val="28"/>
        </w:rPr>
        <w:t xml:space="preserve"> вычеты. Однако уведомление о праве на вычет им направит </w:t>
      </w:r>
      <w:r w:rsidR="003C407A">
        <w:rPr>
          <w:rFonts w:ascii="Times New Roman" w:hAnsi="Times New Roman" w:cs="Times New Roman"/>
          <w:sz w:val="28"/>
          <w:szCs w:val="28"/>
        </w:rPr>
        <w:t>налоговый орган</w:t>
      </w:r>
      <w:r w:rsidRPr="00863C5E">
        <w:rPr>
          <w:rFonts w:ascii="Times New Roman" w:hAnsi="Times New Roman" w:cs="Times New Roman"/>
          <w:sz w:val="28"/>
          <w:szCs w:val="28"/>
        </w:rPr>
        <w:t xml:space="preserve"> (после обращения к ней работника). Документ выдается </w:t>
      </w:r>
      <w:hyperlink r:id="rId38" w:history="1"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 xml:space="preserve">в формате </w:t>
        </w:r>
        <w:proofErr w:type="spellStart"/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>pdf</w:t>
        </w:r>
        <w:proofErr w:type="spellEnd"/>
      </w:hyperlink>
      <w:r w:rsidRPr="00863C5E">
        <w:rPr>
          <w:rFonts w:ascii="Times New Roman" w:hAnsi="Times New Roman" w:cs="Times New Roman"/>
          <w:sz w:val="28"/>
          <w:szCs w:val="28"/>
        </w:rPr>
        <w:t>.</w:t>
      </w:r>
    </w:p>
    <w:p w:rsidR="00863C5E" w:rsidRDefault="00863C5E" w:rsidP="00863C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63C5E" w:rsidRPr="00863C5E" w:rsidRDefault="00863C5E" w:rsidP="00863C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63C5E">
        <w:rPr>
          <w:rFonts w:ascii="Times New Roman" w:hAnsi="Times New Roman" w:cs="Times New Roman"/>
          <w:b/>
          <w:bCs/>
          <w:sz w:val="28"/>
          <w:szCs w:val="28"/>
        </w:rPr>
        <w:t>С 1 января изменили правила расчета налога при оплате работодателем путевок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200"/>
        <w:gridCol w:w="180"/>
      </w:tblGrid>
      <w:tr w:rsidR="00863C5E" w:rsidRPr="00863C5E" w:rsidTr="004A6126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  <w:r w:rsidRPr="00863C5E">
              <w:rPr>
                <w:rFonts w:ascii="Times New Roman" w:hAnsi="Times New Roman" w:cs="Times New Roman"/>
                <w:noProof/>
                <w:color w:val="FFFCE1"/>
                <w:position w:val="-1"/>
                <w:sz w:val="28"/>
                <w:szCs w:val="28"/>
                <w:lang w:eastAsia="ru-RU"/>
              </w:rPr>
              <w:drawing>
                <wp:inline distT="0" distB="0" distL="0" distR="0" wp14:anchorId="0202F4F4" wp14:editId="467BED49">
                  <wp:extent cx="11430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39" w:history="1">
              <w:r w:rsidRPr="00863C5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863C5E">
              <w:rPr>
                <w:rFonts w:ascii="Times New Roman" w:hAnsi="Times New Roman" w:cs="Times New Roman"/>
                <w:sz w:val="28"/>
                <w:szCs w:val="28"/>
              </w:rPr>
              <w:t xml:space="preserve"> от 17.02.2021 N 8-ФЗ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C5E" w:rsidRPr="00863C5E" w:rsidRDefault="00863C5E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C5E" w:rsidRPr="00863C5E" w:rsidRDefault="00863C5E" w:rsidP="0086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E">
        <w:rPr>
          <w:rFonts w:ascii="Times New Roman" w:hAnsi="Times New Roman" w:cs="Times New Roman"/>
          <w:sz w:val="28"/>
          <w:szCs w:val="28"/>
        </w:rPr>
        <w:t xml:space="preserve">Компенсация стоимости путевки </w:t>
      </w:r>
      <w:hyperlink r:id="rId40" w:history="1"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>не облагается</w:t>
        </w:r>
      </w:hyperlink>
      <w:r w:rsidRPr="00863C5E">
        <w:rPr>
          <w:rFonts w:ascii="Times New Roman" w:hAnsi="Times New Roman" w:cs="Times New Roman"/>
          <w:sz w:val="28"/>
          <w:szCs w:val="28"/>
        </w:rPr>
        <w:t xml:space="preserve"> НДФЛ, даже если расходы на нее учли при расчете налога на прибыль. Если за год работнику выдали несколько путевок, освобождение действует только для первой.</w:t>
      </w:r>
    </w:p>
    <w:p w:rsidR="00863C5E" w:rsidRPr="00863C5E" w:rsidRDefault="00863C5E" w:rsidP="00863C5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E">
        <w:rPr>
          <w:rFonts w:ascii="Times New Roman" w:hAnsi="Times New Roman" w:cs="Times New Roman"/>
          <w:sz w:val="28"/>
          <w:szCs w:val="28"/>
        </w:rPr>
        <w:t xml:space="preserve">Кроме того, </w:t>
      </w:r>
      <w:hyperlink r:id="rId41" w:history="1"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>не облагается</w:t>
        </w:r>
      </w:hyperlink>
      <w:r w:rsidRPr="00863C5E">
        <w:rPr>
          <w:rFonts w:ascii="Times New Roman" w:hAnsi="Times New Roman" w:cs="Times New Roman"/>
          <w:sz w:val="28"/>
          <w:szCs w:val="28"/>
        </w:rPr>
        <w:t xml:space="preserve"> НДФЛ компенсация путевок для детей сотрудников в возрасте до 18 лет (до 24 лет - </w:t>
      </w:r>
      <w:proofErr w:type="gramStart"/>
      <w:r w:rsidRPr="00863C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3C5E">
        <w:rPr>
          <w:rFonts w:ascii="Times New Roman" w:hAnsi="Times New Roman" w:cs="Times New Roman"/>
          <w:sz w:val="28"/>
          <w:szCs w:val="28"/>
        </w:rPr>
        <w:t xml:space="preserve"> обучающихся очно). В 2021 году возрастной лимит - </w:t>
      </w:r>
      <w:hyperlink r:id="rId42" w:history="1">
        <w:r w:rsidRPr="00863C5E">
          <w:rPr>
            <w:rFonts w:ascii="Times New Roman" w:hAnsi="Times New Roman" w:cs="Times New Roman"/>
            <w:color w:val="0000FF"/>
            <w:sz w:val="28"/>
            <w:szCs w:val="28"/>
          </w:rPr>
          <w:t>16 лет</w:t>
        </w:r>
      </w:hyperlink>
      <w:r w:rsidRPr="00863C5E">
        <w:rPr>
          <w:rFonts w:ascii="Times New Roman" w:hAnsi="Times New Roman" w:cs="Times New Roman"/>
          <w:sz w:val="28"/>
          <w:szCs w:val="28"/>
        </w:rPr>
        <w:t>.</w:t>
      </w:r>
    </w:p>
    <w:p w:rsidR="007B12FD" w:rsidRPr="002D4D34" w:rsidRDefault="007B12FD" w:rsidP="007B12FD">
      <w:pPr>
        <w:tabs>
          <w:tab w:val="left" w:pos="912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3D7A0B" w:rsidRDefault="003D7A0B" w:rsidP="002D4D34">
      <w:pPr>
        <w:tabs>
          <w:tab w:val="left" w:pos="91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7F">
        <w:rPr>
          <w:rFonts w:ascii="Times New Roman" w:hAnsi="Times New Roman" w:cs="Times New Roman"/>
          <w:b/>
          <w:sz w:val="28"/>
          <w:szCs w:val="28"/>
        </w:rPr>
        <w:t>Расчет  по страховым взносам:</w:t>
      </w:r>
    </w:p>
    <w:p w:rsidR="007B12FD" w:rsidRDefault="007B12FD" w:rsidP="007B12FD">
      <w:pPr>
        <w:tabs>
          <w:tab w:val="left" w:pos="1092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65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лайд 9</w:t>
      </w:r>
    </w:p>
    <w:p w:rsidR="007B12FD" w:rsidRPr="00DD707F" w:rsidRDefault="002D4D34" w:rsidP="007B12FD">
      <w:pPr>
        <w:tabs>
          <w:tab w:val="left" w:pos="91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9A46C9">
            <wp:extent cx="2092370" cy="1569350"/>
            <wp:effectExtent l="19050" t="19050" r="22225" b="1206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34" cy="15711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4CAF" w:rsidRPr="00DD707F" w:rsidRDefault="003D7A0B" w:rsidP="002C5D3F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7F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 -  расчет по страховым взносам представляется   ВСЕМИ  организациями  независимо   от того имеются  ли в организации работники и производятся  ли в отношении них выплаты. </w:t>
      </w:r>
      <w:r w:rsidR="00854CAF" w:rsidRPr="00DD707F">
        <w:rPr>
          <w:rFonts w:ascii="Times New Roman" w:hAnsi="Times New Roman" w:cs="Times New Roman"/>
          <w:sz w:val="28"/>
          <w:szCs w:val="28"/>
        </w:rPr>
        <w:t xml:space="preserve">Налоговым кодексом </w:t>
      </w:r>
      <w:r w:rsidR="00777709" w:rsidRPr="00DD707F">
        <w:rPr>
          <w:rFonts w:ascii="Times New Roman" w:hAnsi="Times New Roman" w:cs="Times New Roman"/>
          <w:sz w:val="28"/>
          <w:szCs w:val="28"/>
        </w:rPr>
        <w:t xml:space="preserve">РФ  </w:t>
      </w:r>
      <w:r w:rsidR="00854CAF" w:rsidRPr="00DD707F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="00854CAF" w:rsidRPr="00DD707F">
        <w:rPr>
          <w:rFonts w:ascii="Times New Roman" w:hAnsi="Times New Roman" w:cs="Times New Roman"/>
          <w:sz w:val="28"/>
          <w:szCs w:val="28"/>
        </w:rPr>
        <w:t xml:space="preserve"> освобождение от исполнения обязанности плательщика страховых взносов - организации по представлению Расчетов в случае неосуществления финансово-хозяйственной деятельности и отсутствия выплат физическим лицам.</w:t>
      </w:r>
    </w:p>
    <w:p w:rsidR="003D7A0B" w:rsidRPr="00DD707F" w:rsidRDefault="003D7A0B" w:rsidP="002C5D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7F">
        <w:rPr>
          <w:rFonts w:ascii="Times New Roman" w:hAnsi="Times New Roman" w:cs="Times New Roman"/>
          <w:sz w:val="28"/>
          <w:szCs w:val="28"/>
        </w:rPr>
        <w:t>Индивидуальные предприниматели представляют   РСВ  в случае наличия у них работников</w:t>
      </w:r>
      <w:r w:rsidR="00854CAF" w:rsidRPr="00DD707F">
        <w:rPr>
          <w:rFonts w:ascii="Times New Roman" w:hAnsi="Times New Roman" w:cs="Times New Roman"/>
          <w:sz w:val="28"/>
          <w:szCs w:val="28"/>
        </w:rPr>
        <w:t>.</w:t>
      </w:r>
      <w:r w:rsidRPr="00DD707F">
        <w:rPr>
          <w:rFonts w:ascii="Times New Roman" w:hAnsi="Times New Roman" w:cs="Times New Roman"/>
          <w:sz w:val="28"/>
          <w:szCs w:val="28"/>
        </w:rPr>
        <w:t xml:space="preserve">  </w:t>
      </w:r>
      <w:r w:rsidR="00854CAF" w:rsidRPr="00DD707F">
        <w:rPr>
          <w:rFonts w:ascii="Times New Roman" w:hAnsi="Times New Roman" w:cs="Times New Roman"/>
          <w:sz w:val="28"/>
          <w:szCs w:val="28"/>
        </w:rPr>
        <w:t>Е</w:t>
      </w:r>
      <w:r w:rsidRPr="00DD707F">
        <w:rPr>
          <w:rFonts w:ascii="Times New Roman" w:hAnsi="Times New Roman" w:cs="Times New Roman"/>
          <w:sz w:val="28"/>
          <w:szCs w:val="28"/>
        </w:rPr>
        <w:t xml:space="preserve">сли  работник работал не целый год,  то расчет всё равно представляется  до конца   расчетного периода  (календарного  года) с нарастающим итогом. </w:t>
      </w:r>
    </w:p>
    <w:p w:rsidR="009E4D18" w:rsidRPr="00DD707F" w:rsidRDefault="003D7A0B" w:rsidP="002C5D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7F">
        <w:rPr>
          <w:rFonts w:ascii="Times New Roman" w:hAnsi="Times New Roman" w:cs="Times New Roman"/>
          <w:sz w:val="28"/>
          <w:szCs w:val="28"/>
        </w:rPr>
        <w:t>Отдельная категория  плательщиков   -  главы крестьянско-фермерского хозяйства</w:t>
      </w:r>
      <w:r w:rsidR="00DD707F" w:rsidRPr="00DD707F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DD707F">
        <w:rPr>
          <w:rFonts w:ascii="Times New Roman" w:hAnsi="Times New Roman" w:cs="Times New Roman"/>
          <w:sz w:val="28"/>
          <w:szCs w:val="28"/>
        </w:rPr>
        <w:t xml:space="preserve"> обязаны по  итогам расчётного периода </w:t>
      </w:r>
      <w:r w:rsidR="00E66EED" w:rsidRPr="00DD707F">
        <w:rPr>
          <w:rFonts w:ascii="Times New Roman" w:hAnsi="Times New Roman" w:cs="Times New Roman"/>
          <w:sz w:val="28"/>
          <w:szCs w:val="28"/>
        </w:rPr>
        <w:t xml:space="preserve"> </w:t>
      </w:r>
      <w:r w:rsidRPr="00DD707F">
        <w:rPr>
          <w:rFonts w:ascii="Times New Roman" w:hAnsi="Times New Roman" w:cs="Times New Roman"/>
          <w:sz w:val="28"/>
          <w:szCs w:val="28"/>
        </w:rPr>
        <w:t xml:space="preserve">представить   расчёт по страховым вносам   даже   при отсутствии работников. В данном расчёте они </w:t>
      </w:r>
      <w:r w:rsidR="00B2139A" w:rsidRPr="00DD707F">
        <w:rPr>
          <w:rFonts w:ascii="Times New Roman" w:hAnsi="Times New Roman" w:cs="Times New Roman"/>
          <w:sz w:val="28"/>
          <w:szCs w:val="28"/>
        </w:rPr>
        <w:t xml:space="preserve"> </w:t>
      </w:r>
      <w:r w:rsidRPr="00DD707F">
        <w:rPr>
          <w:rFonts w:ascii="Times New Roman" w:hAnsi="Times New Roman" w:cs="Times New Roman"/>
          <w:sz w:val="28"/>
          <w:szCs w:val="28"/>
        </w:rPr>
        <w:t xml:space="preserve">указывают суммы  </w:t>
      </w:r>
      <w:r w:rsidR="007F14CF" w:rsidRPr="00DD707F">
        <w:rPr>
          <w:rFonts w:ascii="Times New Roman" w:hAnsi="Times New Roman" w:cs="Times New Roman"/>
          <w:sz w:val="28"/>
          <w:szCs w:val="28"/>
        </w:rPr>
        <w:t>начисленных</w:t>
      </w:r>
      <w:r w:rsidRPr="00DD707F">
        <w:rPr>
          <w:rFonts w:ascii="Times New Roman" w:hAnsi="Times New Roman" w:cs="Times New Roman"/>
          <w:sz w:val="28"/>
          <w:szCs w:val="28"/>
        </w:rPr>
        <w:t xml:space="preserve">    фиксированных платежей в отношении себя и членов </w:t>
      </w:r>
      <w:r w:rsidR="00E66EED" w:rsidRPr="00DD707F">
        <w:rPr>
          <w:rFonts w:ascii="Times New Roman" w:hAnsi="Times New Roman" w:cs="Times New Roman"/>
          <w:sz w:val="28"/>
          <w:szCs w:val="28"/>
        </w:rPr>
        <w:t xml:space="preserve"> крестьянско-фермерского хозяйства.</w:t>
      </w:r>
    </w:p>
    <w:p w:rsidR="00E66EED" w:rsidRPr="00DD707F" w:rsidRDefault="00EE1CFF" w:rsidP="002C5D3F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7F">
        <w:rPr>
          <w:rFonts w:ascii="Times New Roman" w:hAnsi="Times New Roman" w:cs="Times New Roman"/>
          <w:sz w:val="28"/>
          <w:szCs w:val="28"/>
        </w:rPr>
        <w:t xml:space="preserve">Обращаем Ваше внимание,  что в расчете </w:t>
      </w:r>
      <w:r w:rsidR="000E51FF" w:rsidRPr="00DD707F">
        <w:rPr>
          <w:rFonts w:ascii="Times New Roman" w:hAnsi="Times New Roman" w:cs="Times New Roman"/>
          <w:sz w:val="28"/>
          <w:szCs w:val="28"/>
        </w:rPr>
        <w:t xml:space="preserve">  на титульном листе  </w:t>
      </w:r>
      <w:r w:rsidRPr="00DD707F">
        <w:rPr>
          <w:rFonts w:ascii="Times New Roman" w:hAnsi="Times New Roman" w:cs="Times New Roman"/>
          <w:sz w:val="28"/>
          <w:szCs w:val="28"/>
        </w:rPr>
        <w:t xml:space="preserve">предусмотрен показатель  Среднесписочная численность работников.  </w:t>
      </w:r>
      <w:r w:rsidR="00C65A09" w:rsidRPr="00DD707F">
        <w:rPr>
          <w:rFonts w:ascii="Times New Roman" w:hAnsi="Times New Roman" w:cs="Times New Roman"/>
          <w:sz w:val="28"/>
          <w:szCs w:val="28"/>
        </w:rPr>
        <w:t xml:space="preserve">Расчет  производится по  методике, утверждённой  Приказом Росстата от 24.11.2021 N 832. </w:t>
      </w:r>
      <w:r w:rsidRPr="00DD707F">
        <w:rPr>
          <w:rFonts w:ascii="Times New Roman" w:hAnsi="Times New Roman" w:cs="Times New Roman"/>
          <w:sz w:val="28"/>
          <w:szCs w:val="28"/>
        </w:rPr>
        <w:t xml:space="preserve">   Данный показатель  определяется путем суммирования среднесписочной численности работников за все месяцы отчетного года и деления полученной суммы на </w:t>
      </w:r>
      <w:r w:rsidR="000E51FF" w:rsidRPr="00DD707F">
        <w:rPr>
          <w:rFonts w:ascii="Times New Roman" w:hAnsi="Times New Roman" w:cs="Times New Roman"/>
          <w:sz w:val="28"/>
          <w:szCs w:val="28"/>
        </w:rPr>
        <w:t>количество  месяцев в периоде</w:t>
      </w:r>
      <w:r w:rsidRPr="00DD707F">
        <w:rPr>
          <w:rFonts w:ascii="Times New Roman" w:hAnsi="Times New Roman" w:cs="Times New Roman"/>
          <w:sz w:val="28"/>
          <w:szCs w:val="28"/>
        </w:rPr>
        <w:t>.</w:t>
      </w:r>
      <w:r w:rsidR="00C65A09" w:rsidRPr="00DD707F">
        <w:rPr>
          <w:rFonts w:ascii="Times New Roman" w:hAnsi="Times New Roman" w:cs="Times New Roman"/>
          <w:sz w:val="28"/>
          <w:szCs w:val="28"/>
        </w:rPr>
        <w:t xml:space="preserve">  Если организация работала неполный год (сезонный характер работы или создана после января), то 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суммы на 12</w:t>
      </w:r>
      <w:r w:rsidR="000E51FF" w:rsidRPr="00DD707F">
        <w:rPr>
          <w:rFonts w:ascii="Times New Roman" w:hAnsi="Times New Roman" w:cs="Times New Roman"/>
          <w:sz w:val="28"/>
          <w:szCs w:val="28"/>
        </w:rPr>
        <w:t>.</w:t>
      </w:r>
    </w:p>
    <w:p w:rsidR="000E51FF" w:rsidRPr="00514D4A" w:rsidRDefault="000E51FF" w:rsidP="002C5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D4A">
        <w:rPr>
          <w:rFonts w:ascii="Times New Roman" w:hAnsi="Times New Roman" w:cs="Times New Roman"/>
          <w:sz w:val="28"/>
          <w:szCs w:val="28"/>
        </w:rPr>
        <w:t xml:space="preserve">Сотрудников обособленного подразделения  необходимо  учитывать  в расчете, который представляется по месту нахождения головной организации. В </w:t>
      </w:r>
      <w:hyperlink r:id="rId44" w:history="1">
        <w:r w:rsidRPr="00514D4A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514D4A">
        <w:rPr>
          <w:rFonts w:ascii="Times New Roman" w:hAnsi="Times New Roman" w:cs="Times New Roman"/>
          <w:sz w:val="28"/>
          <w:szCs w:val="28"/>
        </w:rPr>
        <w:t xml:space="preserve"> "Среднесписочная численность (чел.)" титульного листа такого расчета нужно привести показатель, рассчитанный исходя из численности работников головного и обособленных подразделений организации.</w:t>
      </w:r>
    </w:p>
    <w:p w:rsidR="000E51FF" w:rsidRPr="00514D4A" w:rsidRDefault="000E51FF" w:rsidP="002C5D3F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4A">
        <w:rPr>
          <w:rFonts w:ascii="Times New Roman" w:hAnsi="Times New Roman" w:cs="Times New Roman"/>
          <w:sz w:val="28"/>
          <w:szCs w:val="28"/>
        </w:rPr>
        <w:t xml:space="preserve">Если  организация  подает  расчет по обособленному подразделению, это </w:t>
      </w:r>
      <w:hyperlink r:id="rId45" w:history="1">
        <w:r w:rsidRPr="00514D4A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514D4A">
        <w:rPr>
          <w:rFonts w:ascii="Times New Roman" w:hAnsi="Times New Roman" w:cs="Times New Roman"/>
          <w:sz w:val="28"/>
          <w:szCs w:val="28"/>
        </w:rPr>
        <w:t xml:space="preserve"> </w:t>
      </w:r>
      <w:r w:rsidRPr="00514D4A">
        <w:rPr>
          <w:rFonts w:ascii="Times New Roman" w:hAnsi="Times New Roman" w:cs="Times New Roman"/>
          <w:b/>
          <w:sz w:val="28"/>
          <w:szCs w:val="28"/>
        </w:rPr>
        <w:t>не заполняется.</w:t>
      </w:r>
    </w:p>
    <w:p w:rsidR="009E4D18" w:rsidRPr="00514D4A" w:rsidRDefault="007F14CF" w:rsidP="002C5D3F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4A">
        <w:rPr>
          <w:rFonts w:ascii="Times New Roman" w:hAnsi="Times New Roman" w:cs="Times New Roman"/>
          <w:sz w:val="28"/>
          <w:szCs w:val="28"/>
        </w:rPr>
        <w:t xml:space="preserve">Перед формированием отчетности  для правомерного  применения пониженных тарифов  в каждом квартале  необходимо  проверять  </w:t>
      </w:r>
      <w:r w:rsidR="009E4D18" w:rsidRPr="00514D4A">
        <w:rPr>
          <w:rFonts w:ascii="Times New Roman" w:hAnsi="Times New Roman" w:cs="Times New Roman"/>
          <w:sz w:val="28"/>
          <w:szCs w:val="28"/>
        </w:rPr>
        <w:t xml:space="preserve"> свой статус в   Едином реестре субъектов малого</w:t>
      </w:r>
      <w:r w:rsidR="002811C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514D4A">
        <w:rPr>
          <w:rFonts w:ascii="Times New Roman" w:hAnsi="Times New Roman" w:cs="Times New Roman"/>
          <w:sz w:val="28"/>
          <w:szCs w:val="28"/>
        </w:rPr>
        <w:t xml:space="preserve">.  Реестр ведётся на официальном сайте ФНС. </w:t>
      </w:r>
    </w:p>
    <w:p w:rsidR="00514D4A" w:rsidRPr="00514D4A" w:rsidRDefault="00514D4A" w:rsidP="002C5D3F">
      <w:pPr>
        <w:pStyle w:val="sbis-ruarticles--pb2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4D4A">
        <w:rPr>
          <w:sz w:val="28"/>
          <w:szCs w:val="28"/>
        </w:rPr>
        <w:t>Налогов</w:t>
      </w:r>
      <w:r>
        <w:rPr>
          <w:sz w:val="28"/>
          <w:szCs w:val="28"/>
        </w:rPr>
        <w:t>ый орган</w:t>
      </w:r>
      <w:r w:rsidRPr="00514D4A">
        <w:rPr>
          <w:sz w:val="28"/>
          <w:szCs w:val="28"/>
        </w:rPr>
        <w:t xml:space="preserve"> проверяет отчет РСВ сразу в момент приемки. Причем сравнивают не только суммы и сотрудников внутри сдаваемого отчета, но и сопоставляют с отчетами за прошлые периоды. Если показатели не сойдутся — отправляют отрицательный протокол. Отчет в этом случае </w:t>
      </w:r>
      <w:r w:rsidRPr="00514D4A">
        <w:rPr>
          <w:sz w:val="28"/>
          <w:szCs w:val="28"/>
        </w:rPr>
        <w:lastRenderedPageBreak/>
        <w:t>считается непредставленным, как будто вы его вовсе не сдавали, и грозит штрафом до 30% от суммы отчета.</w:t>
      </w:r>
    </w:p>
    <w:p w:rsidR="000E51FF" w:rsidRPr="00514D4A" w:rsidRDefault="00514D4A" w:rsidP="002C5D3F">
      <w:pPr>
        <w:tabs>
          <w:tab w:val="left" w:pos="91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D4A">
        <w:rPr>
          <w:rFonts w:ascii="Times New Roman" w:hAnsi="Times New Roman" w:cs="Times New Roman"/>
          <w:sz w:val="28"/>
          <w:szCs w:val="28"/>
        </w:rPr>
        <w:t>При принятии налоговым органом расчета по страховым взносам отдельной ответственности за недостоверные сведения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4A" w:rsidRDefault="00031886" w:rsidP="007B12FD">
      <w:pPr>
        <w:tabs>
          <w:tab w:val="left" w:pos="912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86">
        <w:rPr>
          <w:rFonts w:ascii="Times New Roman" w:hAnsi="Times New Roman" w:cs="Times New Roman"/>
          <w:b/>
          <w:sz w:val="28"/>
          <w:szCs w:val="28"/>
        </w:rPr>
        <w:t>Основные изменения по страховым взносам в 2022 году</w:t>
      </w:r>
    </w:p>
    <w:p w:rsidR="00981413" w:rsidRDefault="00981413" w:rsidP="00981413">
      <w:pPr>
        <w:tabs>
          <w:tab w:val="left" w:pos="91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413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981413" w:rsidRPr="00981413" w:rsidRDefault="008756B8" w:rsidP="00981413">
      <w:pPr>
        <w:tabs>
          <w:tab w:val="left" w:pos="91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6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880009" wp14:editId="4B760FBE">
            <wp:extent cx="3098656" cy="2324100"/>
            <wp:effectExtent l="19050" t="19050" r="2603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78" cy="2324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1886" w:rsidRPr="00031886" w:rsidRDefault="00031886" w:rsidP="000318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1886">
        <w:rPr>
          <w:rFonts w:ascii="Times New Roman" w:hAnsi="Times New Roman" w:cs="Times New Roman"/>
          <w:b/>
          <w:bCs/>
          <w:sz w:val="28"/>
          <w:szCs w:val="28"/>
        </w:rPr>
        <w:t>30 апреля для части страхователей перенесли сроки уплаты взносов</w:t>
      </w:r>
    </w:p>
    <w:p w:rsidR="00031886" w:rsidRPr="00031886" w:rsidRDefault="00031886" w:rsidP="0003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200"/>
        <w:gridCol w:w="180"/>
      </w:tblGrid>
      <w:tr w:rsidR="00031886" w:rsidRPr="00031886" w:rsidTr="004A6126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886" w:rsidRPr="00031886" w:rsidRDefault="00031886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31886" w:rsidRPr="00031886" w:rsidRDefault="00031886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  <w:r w:rsidRPr="00031886">
              <w:rPr>
                <w:rFonts w:ascii="Times New Roman" w:hAnsi="Times New Roman" w:cs="Times New Roman"/>
                <w:noProof/>
                <w:color w:val="FFFCE1"/>
                <w:position w:val="-1"/>
                <w:sz w:val="28"/>
                <w:szCs w:val="28"/>
                <w:lang w:eastAsia="ru-RU"/>
              </w:rPr>
              <w:drawing>
                <wp:inline distT="0" distB="0" distL="0" distR="0" wp14:anchorId="37FC1A8C" wp14:editId="5D934C2B">
                  <wp:extent cx="114300" cy="142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31886" w:rsidRPr="00031886" w:rsidRDefault="0099751C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31886" w:rsidRPr="000318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031886" w:rsidRPr="0003188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29.04.2022 N 776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886" w:rsidRPr="00031886" w:rsidRDefault="00031886" w:rsidP="004A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886" w:rsidRPr="008756B8" w:rsidRDefault="00031886" w:rsidP="0003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31886" w:rsidRPr="00031886" w:rsidRDefault="00031886" w:rsidP="0003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86">
        <w:rPr>
          <w:rFonts w:ascii="Times New Roman" w:hAnsi="Times New Roman" w:cs="Times New Roman"/>
          <w:sz w:val="28"/>
          <w:szCs w:val="28"/>
        </w:rPr>
        <w:t>Правительство продлило на 12 месяцев сроки уплаты взносов:</w:t>
      </w:r>
    </w:p>
    <w:p w:rsidR="00031886" w:rsidRPr="00031886" w:rsidRDefault="00031886" w:rsidP="0003188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886">
        <w:rPr>
          <w:rFonts w:ascii="Times New Roman" w:hAnsi="Times New Roman" w:cs="Times New Roman"/>
          <w:sz w:val="28"/>
          <w:szCs w:val="28"/>
        </w:rPr>
        <w:t xml:space="preserve">- за апрель - июнь 2022 года - для организаций и ИП, основной вид деятельности которых упомянут в </w:t>
      </w:r>
      <w:hyperlink r:id="rId48" w:history="1">
        <w:r w:rsidRPr="00031886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031886">
        <w:rPr>
          <w:rFonts w:ascii="Times New Roman" w:hAnsi="Times New Roman" w:cs="Times New Roman"/>
          <w:sz w:val="28"/>
          <w:szCs w:val="28"/>
        </w:rPr>
        <w:t>. Речь идет более чем о 70 отраслях, среди которых производство пищевых продуктов и напитков, строительство зданий, предоставление мест временного проживания, аренда и лизинг и др. ИП, которые подпадают под этот критерий, также могут позже перечислить взносы за 2021 год с дохода свыше 300 тыс</w:t>
      </w:r>
      <w:proofErr w:type="gramEnd"/>
      <w:r w:rsidRPr="00031886">
        <w:rPr>
          <w:rFonts w:ascii="Times New Roman" w:hAnsi="Times New Roman" w:cs="Times New Roman"/>
          <w:sz w:val="28"/>
          <w:szCs w:val="28"/>
        </w:rPr>
        <w:t>. руб.;</w:t>
      </w:r>
    </w:p>
    <w:p w:rsidR="00031886" w:rsidRPr="00031886" w:rsidRDefault="00031886" w:rsidP="0003188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86">
        <w:rPr>
          <w:rFonts w:ascii="Times New Roman" w:hAnsi="Times New Roman" w:cs="Times New Roman"/>
          <w:sz w:val="28"/>
          <w:szCs w:val="28"/>
        </w:rPr>
        <w:t xml:space="preserve">- за июль - сентябрь 2022 года - для компаний и предпринимателей, у которых основной вид деятельности есть в другом </w:t>
      </w:r>
      <w:hyperlink r:id="rId49" w:history="1">
        <w:r w:rsidRPr="00031886">
          <w:rPr>
            <w:rFonts w:ascii="Times New Roman" w:hAnsi="Times New Roman" w:cs="Times New Roman"/>
            <w:color w:val="0000FF"/>
            <w:sz w:val="28"/>
            <w:szCs w:val="28"/>
          </w:rPr>
          <w:t>списке</w:t>
        </w:r>
      </w:hyperlink>
      <w:r w:rsidRPr="00031886">
        <w:rPr>
          <w:rFonts w:ascii="Times New Roman" w:hAnsi="Times New Roman" w:cs="Times New Roman"/>
          <w:sz w:val="28"/>
          <w:szCs w:val="28"/>
        </w:rPr>
        <w:t>. Это затрагивает страхователей более чем 30 отраслей, которые относятся к производству, строительству, транспорту, телекоммуникациям и др.</w:t>
      </w:r>
    </w:p>
    <w:p w:rsidR="00031886" w:rsidRPr="00031886" w:rsidRDefault="00031886" w:rsidP="0003188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86">
        <w:rPr>
          <w:rFonts w:ascii="Times New Roman" w:hAnsi="Times New Roman" w:cs="Times New Roman"/>
          <w:sz w:val="28"/>
          <w:szCs w:val="28"/>
        </w:rPr>
        <w:t>Основной вид деятельности нужно определять по ЕГРЮЛ или ЕГРИП по состоянию на 1 апреля 2022 года.</w:t>
      </w:r>
    </w:p>
    <w:p w:rsidR="00031886" w:rsidRPr="00031886" w:rsidRDefault="00031886" w:rsidP="0003188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86">
        <w:rPr>
          <w:rFonts w:ascii="Times New Roman" w:hAnsi="Times New Roman" w:cs="Times New Roman"/>
          <w:sz w:val="28"/>
          <w:szCs w:val="28"/>
        </w:rPr>
        <w:t xml:space="preserve">Перенос сроков не касается </w:t>
      </w:r>
      <w:proofErr w:type="spellStart"/>
      <w:r w:rsidRPr="00031886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31886">
        <w:rPr>
          <w:rFonts w:ascii="Times New Roman" w:hAnsi="Times New Roman" w:cs="Times New Roman"/>
          <w:sz w:val="28"/>
          <w:szCs w:val="28"/>
        </w:rPr>
        <w:t xml:space="preserve"> определенных организационно-правовых </w:t>
      </w:r>
      <w:hyperlink r:id="rId50" w:history="1">
        <w:r w:rsidRPr="00031886">
          <w:rPr>
            <w:rFonts w:ascii="Times New Roman" w:hAnsi="Times New Roman" w:cs="Times New Roman"/>
            <w:color w:val="0000FF"/>
            <w:sz w:val="28"/>
            <w:szCs w:val="28"/>
          </w:rPr>
          <w:t>форм</w:t>
        </w:r>
      </w:hyperlink>
      <w:r w:rsidRPr="00031886">
        <w:rPr>
          <w:rFonts w:ascii="Times New Roman" w:hAnsi="Times New Roman" w:cs="Times New Roman"/>
          <w:sz w:val="28"/>
          <w:szCs w:val="28"/>
        </w:rPr>
        <w:t xml:space="preserve">: государственных и муниципальных учреждений, унитарных и казенных предприятий, публично-правовых компаний, </w:t>
      </w:r>
      <w:proofErr w:type="spellStart"/>
      <w:r w:rsidRPr="00031886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Pr="0003188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31886" w:rsidRPr="00031886" w:rsidRDefault="00031886" w:rsidP="008756B8">
      <w:pPr>
        <w:tabs>
          <w:tab w:val="left" w:pos="91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31886" w:rsidRPr="00031886" w:rsidSect="00203BB0">
      <w:headerReference w:type="default" r:id="rId51"/>
      <w:pgSz w:w="11905" w:h="16838"/>
      <w:pgMar w:top="680" w:right="851" w:bottom="680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BA" w:rsidRDefault="003C46BA" w:rsidP="002C5A84">
      <w:pPr>
        <w:spacing w:after="0" w:line="240" w:lineRule="auto"/>
      </w:pPr>
      <w:r>
        <w:separator/>
      </w:r>
    </w:p>
  </w:endnote>
  <w:endnote w:type="continuationSeparator" w:id="0">
    <w:p w:rsidR="003C46BA" w:rsidRDefault="003C46BA" w:rsidP="002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BA" w:rsidRDefault="003C46BA" w:rsidP="002C5A84">
      <w:pPr>
        <w:spacing w:after="0" w:line="240" w:lineRule="auto"/>
      </w:pPr>
      <w:r>
        <w:separator/>
      </w:r>
    </w:p>
  </w:footnote>
  <w:footnote w:type="continuationSeparator" w:id="0">
    <w:p w:rsidR="003C46BA" w:rsidRDefault="003C46BA" w:rsidP="002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015578"/>
      <w:docPartObj>
        <w:docPartGallery w:val="Page Numbers (Top of Page)"/>
        <w:docPartUnique/>
      </w:docPartObj>
    </w:sdtPr>
    <w:sdtEndPr/>
    <w:sdtContent>
      <w:p w:rsidR="00861B39" w:rsidRDefault="00861B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1C">
          <w:rPr>
            <w:noProof/>
          </w:rPr>
          <w:t>7</w:t>
        </w:r>
        <w:r>
          <w:fldChar w:fldCharType="end"/>
        </w:r>
      </w:p>
    </w:sdtContent>
  </w:sdt>
  <w:p w:rsidR="00861B39" w:rsidRDefault="00861B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5F69"/>
    <w:multiLevelType w:val="hybridMultilevel"/>
    <w:tmpl w:val="D3446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331E"/>
    <w:multiLevelType w:val="multilevel"/>
    <w:tmpl w:val="767E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E06CC"/>
    <w:multiLevelType w:val="multilevel"/>
    <w:tmpl w:val="FA1E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D1BE5"/>
    <w:multiLevelType w:val="multilevel"/>
    <w:tmpl w:val="99FE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80885"/>
    <w:multiLevelType w:val="multilevel"/>
    <w:tmpl w:val="EA5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15FCA"/>
    <w:multiLevelType w:val="hybridMultilevel"/>
    <w:tmpl w:val="64AC94A2"/>
    <w:lvl w:ilvl="0" w:tplc="0A7A2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74"/>
    <w:rsid w:val="00031886"/>
    <w:rsid w:val="000751EE"/>
    <w:rsid w:val="00095215"/>
    <w:rsid w:val="000E51FF"/>
    <w:rsid w:val="001E13F3"/>
    <w:rsid w:val="00203BB0"/>
    <w:rsid w:val="00225E00"/>
    <w:rsid w:val="002811C7"/>
    <w:rsid w:val="002A21C2"/>
    <w:rsid w:val="002C5A84"/>
    <w:rsid w:val="002C5D3F"/>
    <w:rsid w:val="002D2EC3"/>
    <w:rsid w:val="002D4D34"/>
    <w:rsid w:val="002E0063"/>
    <w:rsid w:val="00333D7E"/>
    <w:rsid w:val="00341613"/>
    <w:rsid w:val="003C407A"/>
    <w:rsid w:val="003C46BA"/>
    <w:rsid w:val="003D7A0B"/>
    <w:rsid w:val="003E2D18"/>
    <w:rsid w:val="004619EB"/>
    <w:rsid w:val="00502B34"/>
    <w:rsid w:val="0051465A"/>
    <w:rsid w:val="00514D4A"/>
    <w:rsid w:val="00533030"/>
    <w:rsid w:val="005C4CF5"/>
    <w:rsid w:val="005D392B"/>
    <w:rsid w:val="00641539"/>
    <w:rsid w:val="00715D2C"/>
    <w:rsid w:val="00763478"/>
    <w:rsid w:val="00777709"/>
    <w:rsid w:val="007B12FD"/>
    <w:rsid w:val="007F14CF"/>
    <w:rsid w:val="00854CAF"/>
    <w:rsid w:val="00861B39"/>
    <w:rsid w:val="00863C5E"/>
    <w:rsid w:val="008756B8"/>
    <w:rsid w:val="008F038B"/>
    <w:rsid w:val="00943F15"/>
    <w:rsid w:val="00981413"/>
    <w:rsid w:val="0099751C"/>
    <w:rsid w:val="009C4D9D"/>
    <w:rsid w:val="009D1C2A"/>
    <w:rsid w:val="009E4D18"/>
    <w:rsid w:val="009F4431"/>
    <w:rsid w:val="00A4344A"/>
    <w:rsid w:val="00A865DE"/>
    <w:rsid w:val="00AE43D2"/>
    <w:rsid w:val="00AF05AC"/>
    <w:rsid w:val="00B2139A"/>
    <w:rsid w:val="00B50A87"/>
    <w:rsid w:val="00C1704F"/>
    <w:rsid w:val="00C65A09"/>
    <w:rsid w:val="00C820A5"/>
    <w:rsid w:val="00CC2759"/>
    <w:rsid w:val="00D03FE9"/>
    <w:rsid w:val="00DC00F0"/>
    <w:rsid w:val="00DD707F"/>
    <w:rsid w:val="00E10ECF"/>
    <w:rsid w:val="00E37E8B"/>
    <w:rsid w:val="00E66EED"/>
    <w:rsid w:val="00E93D2C"/>
    <w:rsid w:val="00EC3E6D"/>
    <w:rsid w:val="00EE1CFF"/>
    <w:rsid w:val="00F522A2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A84"/>
  </w:style>
  <w:style w:type="paragraph" w:styleId="a5">
    <w:name w:val="footer"/>
    <w:basedOn w:val="a"/>
    <w:link w:val="a6"/>
    <w:uiPriority w:val="99"/>
    <w:unhideWhenUsed/>
    <w:rsid w:val="002C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A84"/>
  </w:style>
  <w:style w:type="paragraph" w:styleId="a7">
    <w:name w:val="List Paragraph"/>
    <w:basedOn w:val="a"/>
    <w:uiPriority w:val="34"/>
    <w:qFormat/>
    <w:rsid w:val="009E4D18"/>
    <w:pPr>
      <w:ind w:left="720"/>
      <w:contextualSpacing/>
    </w:pPr>
  </w:style>
  <w:style w:type="paragraph" w:customStyle="1" w:styleId="Default">
    <w:name w:val="Default"/>
    <w:rsid w:val="0086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E2D1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8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8">
    <w:name w:val="sbis-ru__articles--pb8"/>
    <w:basedOn w:val="a"/>
    <w:rsid w:val="00A8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65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bis-ruarticles--yellow-bg">
    <w:name w:val="sbis-ru__articles--yellow-bg"/>
    <w:basedOn w:val="a0"/>
    <w:rsid w:val="00A865DE"/>
  </w:style>
  <w:style w:type="paragraph" w:customStyle="1" w:styleId="sbis-ruarticles--pt4">
    <w:name w:val="sbis-ru__articles--pt4"/>
    <w:basedOn w:val="a"/>
    <w:rsid w:val="00A8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24">
    <w:name w:val="sbis-ru__articles--pb24"/>
    <w:basedOn w:val="a"/>
    <w:rsid w:val="0051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DC00F0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DC0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C5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E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A84"/>
  </w:style>
  <w:style w:type="paragraph" w:styleId="a5">
    <w:name w:val="footer"/>
    <w:basedOn w:val="a"/>
    <w:link w:val="a6"/>
    <w:uiPriority w:val="99"/>
    <w:unhideWhenUsed/>
    <w:rsid w:val="002C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A84"/>
  </w:style>
  <w:style w:type="paragraph" w:styleId="a7">
    <w:name w:val="List Paragraph"/>
    <w:basedOn w:val="a"/>
    <w:uiPriority w:val="34"/>
    <w:qFormat/>
    <w:rsid w:val="009E4D18"/>
    <w:pPr>
      <w:ind w:left="720"/>
      <w:contextualSpacing/>
    </w:pPr>
  </w:style>
  <w:style w:type="paragraph" w:customStyle="1" w:styleId="Default">
    <w:name w:val="Default"/>
    <w:rsid w:val="0086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E2D1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8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8">
    <w:name w:val="sbis-ru__articles--pb8"/>
    <w:basedOn w:val="a"/>
    <w:rsid w:val="00A8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65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bis-ruarticles--yellow-bg">
    <w:name w:val="sbis-ru__articles--yellow-bg"/>
    <w:basedOn w:val="a0"/>
    <w:rsid w:val="00A865DE"/>
  </w:style>
  <w:style w:type="paragraph" w:customStyle="1" w:styleId="sbis-ruarticles--pt4">
    <w:name w:val="sbis-ru__articles--pt4"/>
    <w:basedOn w:val="a"/>
    <w:rsid w:val="00A8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24">
    <w:name w:val="sbis-ru__articles--pb24"/>
    <w:basedOn w:val="a"/>
    <w:rsid w:val="0051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DC00F0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DC0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C5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E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F5FAD3076CFC8144376F9DFC25BBA2F6E9E939F7761B316FD1BCB1C611126CDFC18CE9A8J9n0J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consultant.ru/document/cons_doc_LAW_28165/7262accf6a3d67f9ced3a3dceb38c7bda15d539d/" TargetMode="External"/><Relationship Id="rId39" Type="http://schemas.openxmlformats.org/officeDocument/2006/relationships/hyperlink" Target="consultantplus://offline/ref=FA8FC8C4E8963139AA7D35089B80E612753CFBEFB8D07410583C3E0AD26824138533A16EDB3E9443EEBEBFEAECFCFBD280BFC3DD57F5774F43d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6A60DD046D22507CB65FD9F4D8989F10F55B0B56452889A45F758319492B69FDA2D16869A470B2BC5394E2047D6C2443580FD79A01B29a9D7M" TargetMode="External"/><Relationship Id="rId34" Type="http://schemas.openxmlformats.org/officeDocument/2006/relationships/image" Target="media/image7.png"/><Relationship Id="rId42" Type="http://schemas.openxmlformats.org/officeDocument/2006/relationships/hyperlink" Target="consultantplus://offline/ref=FA8FC8C4E8963139AA7D35089B80E612723AF8E5B4D87410583C3E0AD26824138533A169DC3A924AB3E4AFEEA5AAF7CF81A4DDDA49F547d5M" TargetMode="External"/><Relationship Id="rId47" Type="http://schemas.openxmlformats.org/officeDocument/2006/relationships/hyperlink" Target="consultantplus://offline/ref=FA8FC8C4E8963139AA7D35089B80E612723AFAECBCD17410583C3E0AD26824139733F962D83F8A41E2ABE9BBAA4AdBM" TargetMode="External"/><Relationship Id="rId50" Type="http://schemas.openxmlformats.org/officeDocument/2006/relationships/hyperlink" Target="consultantplus://offline/ref=FA8FC8C4E8963139AA7D35089B80E612723AFAECBCD17410583C3E0AD26824138533A16EDB3E9644E3BEBFEAECFCFBD280BFC3DD57F5774F43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F5FAD3076CFC8144376F9DFC25BBA2F6E9E932F0791B316FD1BCB1C611126CDFC18CE1A890E25AJ7n9J" TargetMode="External"/><Relationship Id="rId17" Type="http://schemas.openxmlformats.org/officeDocument/2006/relationships/hyperlink" Target="http://www.nalog.gov.ru)" TargetMode="External"/><Relationship Id="rId25" Type="http://schemas.openxmlformats.org/officeDocument/2006/relationships/hyperlink" Target="http://www.consultant.ru/document/cons_doc_LAW_28165/7262accf6a3d67f9ced3a3dceb38c7bda15d539d/" TargetMode="External"/><Relationship Id="rId33" Type="http://schemas.openxmlformats.org/officeDocument/2006/relationships/hyperlink" Target="http://www.consultant.ru/document/cons_doc_LAW_19671/2f9b22af4910a374da0f2d570e7bc1ac862830ca/" TargetMode="External"/><Relationship Id="rId38" Type="http://schemas.openxmlformats.org/officeDocument/2006/relationships/hyperlink" Target="consultantplus://offline/ref=FA8FC8C4E8963139AA7D35089B80E6127532F9EABFDB7410583C3E0AD26824138533A16EDB3E9440E1BEBFEAECFCFBD280BFC3DD57F5774F43dBM" TargetMode="External"/><Relationship Id="rId46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consultantplus://offline/ref=C6E6A60DD046D22507CB65FD9F4D8989F10F55B0B56452889A45F758319492B69FDA2D16869A460A2CC5394E2047D6C2443580FD79A01B29a9D7M" TargetMode="External"/><Relationship Id="rId29" Type="http://schemas.openxmlformats.org/officeDocument/2006/relationships/hyperlink" Target="http://www.consultant.ru/document/cons_doc_LAW_28165/7262accf6a3d67f9ced3a3dceb38c7bda15d539d/" TargetMode="External"/><Relationship Id="rId41" Type="http://schemas.openxmlformats.org/officeDocument/2006/relationships/hyperlink" Target="consultantplus://offline/ref=FA8FC8C4E8963139AA7D35089B80E612753CFBEFB8D07410583C3E0AD26824138533A16EDB3E9442E7BEBFEAECFCFBD280BFC3DD57F5774F43dB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F5FAD3076CFC8144376F9DFC25BBA2F6E9E939F7761B316FD1BCB1C611126CDFC18CE9A8J9n0J" TargetMode="External"/><Relationship Id="rId24" Type="http://schemas.openxmlformats.org/officeDocument/2006/relationships/hyperlink" Target="https://e.budgetnik.ru/npd-doc?npmid=99&amp;npid=551494052" TargetMode="External"/><Relationship Id="rId32" Type="http://schemas.openxmlformats.org/officeDocument/2006/relationships/hyperlink" Target="http://www.consultant.ru/document/cons_doc_LAW_28165/7262accf6a3d67f9ced3a3dceb38c7bda15d539d/" TargetMode="External"/><Relationship Id="rId37" Type="http://schemas.openxmlformats.org/officeDocument/2006/relationships/hyperlink" Target="consultantplus://offline/ref=FA8FC8C4E8963139AA7D35089B80E6127533FEE8BFD97410583C3E0AD26824138533A16EDB3E9449E0BEBFEAECFCFBD280BFC3DD57F5774F43dBM" TargetMode="External"/><Relationship Id="rId40" Type="http://schemas.openxmlformats.org/officeDocument/2006/relationships/hyperlink" Target="consultantplus://offline/ref=FA8FC8C4E8963139AA7D35089B80E612753CFBEFB8D07410583C3E0AD26824138533A16EDB3E9442E5BEBFEAECFCFBD280BFC3DD57F5774F43dBM" TargetMode="External"/><Relationship Id="rId45" Type="http://schemas.openxmlformats.org/officeDocument/2006/relationships/hyperlink" Target="consultantplus://offline/ref=E08A6E113677A1ED187A9DA7549536CD2F28386D17B5761E938AA5A365D8C672DA2964E469D634912F907C9C4051A81334B2B11AA90D73CCA4E0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0D40729A0199AA5B88F57CA8B2B5687EC7F4464CEC3C354E124CB5ABr3LBO" TargetMode="External"/><Relationship Id="rId23" Type="http://schemas.openxmlformats.org/officeDocument/2006/relationships/hyperlink" Target="consultantplus://offline/ref=C6E6A60DD046D22507CB65FD9F4D8989F10F55B0B56452889A45F758319492B69FDA2D16869A420F23C5394E2047D6C2443580FD79A01B29a9D7M" TargetMode="External"/><Relationship Id="rId28" Type="http://schemas.openxmlformats.org/officeDocument/2006/relationships/hyperlink" Target="http://www.consultant.ru/document/cons_doc_LAW_19671/498ecb2931293a62685c3caece515bac9b2da7fa/" TargetMode="External"/><Relationship Id="rId36" Type="http://schemas.openxmlformats.org/officeDocument/2006/relationships/hyperlink" Target="consultantplus://offline/ref=FA8FC8C4E8963139AA7D35089B80E6127533FEE8BFD97410583C3E0AD26824138533A16EDB3E9445E2BEBFEAECFCFBD280BFC3DD57F5774F43dBM" TargetMode="External"/><Relationship Id="rId49" Type="http://schemas.openxmlformats.org/officeDocument/2006/relationships/hyperlink" Target="consultantplus://offline/ref=FA8FC8C4E8963139AA7D35089B80E612723AFAECBCD17410583C3E0AD26824138533A16EDB3E9546E5BEBFEAECFCFBD280BFC3DD57F5774F43dB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://www.consultant.ru/document/cons_doc_LAW_28165/7262accf6a3d67f9ced3a3dceb38c7bda15d539d/" TargetMode="External"/><Relationship Id="rId44" Type="http://schemas.openxmlformats.org/officeDocument/2006/relationships/hyperlink" Target="consultantplus://offline/ref=E08A6E113677A1ED187A9DA7549536CD2F28386D17B5761E938AA5A365D8C672DA2964E469D634912F907C9C4051A81334B2B11AA90D73CCA4E0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CF5FAD3076CFC8144376F9DFC25BBA2F6E9E932F0791B316FD1BCB1C611126CDFC18CE1A890E25AJ7n7J" TargetMode="External"/><Relationship Id="rId22" Type="http://schemas.openxmlformats.org/officeDocument/2006/relationships/hyperlink" Target="consultantplus://offline/ref=C6E6A60DD046D22507CB65FD9F4D8989F10F55B0B56452889A45F758319492B69FDA2D16869A44082FC5394E2047D6C2443580FD79A01B29a9D7M" TargetMode="External"/><Relationship Id="rId27" Type="http://schemas.openxmlformats.org/officeDocument/2006/relationships/hyperlink" Target="http://www.consultant.ru/document/cons_doc_LAW_19671/14139b16d4f3091c91b334a13073c34237f8e4c4/" TargetMode="External"/><Relationship Id="rId30" Type="http://schemas.openxmlformats.org/officeDocument/2006/relationships/hyperlink" Target="http://www.consultant.ru/document/cons_doc_LAW_28165/ecfd690acbabfd266e9d5c4ac0275726d4d0a7c1/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9.png"/><Relationship Id="rId48" Type="http://schemas.openxmlformats.org/officeDocument/2006/relationships/hyperlink" Target="consultantplus://offline/ref=FA8FC8C4E8963139AA7D35089B80E612723AFAECBCD17410583C3E0AD26824138533A16EDB3E9440E5BEBFEAECFCFBD280BFC3DD57F5774F43dBM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Ольга Анатольевна</dc:creator>
  <cp:lastModifiedBy>Трофименко Наталья Александровна</cp:lastModifiedBy>
  <cp:revision>25</cp:revision>
  <dcterms:created xsi:type="dcterms:W3CDTF">2022-06-01T08:46:00Z</dcterms:created>
  <dcterms:modified xsi:type="dcterms:W3CDTF">2022-06-01T14:36:00Z</dcterms:modified>
</cp:coreProperties>
</file>