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18 апреля 2014 г. N ОА-4-13/7549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Федеральная налоговая служба в связи с поступающими запросами налогоплательщиков и налоговых органов по вопросам, касающимся порядка заполнения уведомления о контролируемых сделках (далее также Уведомление), сообщает следующее.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Par10"/>
      <w:bookmarkEnd w:id="0"/>
      <w:r>
        <w:rPr>
          <w:rFonts w:ascii="Calibri" w:hAnsi="Calibri" w:cs="Calibri"/>
        </w:rPr>
        <w:t>I. Финансовые операции.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5" w:history="1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ФНС России от 01.11.2013 N ОА-4-13/19652 ранее были представлены разъяснения порядка заполнения </w:t>
      </w:r>
      <w:hyperlink r:id="rId6" w:history="1">
        <w:r>
          <w:rPr>
            <w:rFonts w:ascii="Calibri" w:hAnsi="Calibri" w:cs="Calibri"/>
            <w:color w:val="0000FF"/>
          </w:rPr>
          <w:t>Уведомления</w:t>
        </w:r>
      </w:hyperlink>
      <w:r>
        <w:rPr>
          <w:rFonts w:ascii="Calibri" w:hAnsi="Calibri" w:cs="Calibri"/>
        </w:rPr>
        <w:t xml:space="preserve"> в отношении отдельных финансовых операций, в том числе кредитными организациями.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Дополнительно в настоящем письме представлены разъяснения порядка заполнения Уведомления по сделке внебиржевой расчетный форвард и сделке реализации (выбытия) облигаций и возмещении покупателем суммы начисленного купонного дохода.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15"/>
      <w:bookmarkEnd w:id="1"/>
      <w:r>
        <w:rPr>
          <w:rFonts w:ascii="Calibri" w:hAnsi="Calibri" w:cs="Calibri"/>
        </w:rPr>
        <w:t>1. О порядке заполнения Уведомления по внебиржевому расчетному форварду.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</w:t>
      </w:r>
      <w:hyperlink r:id="rId7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заполнения формы уведомления о контролируемых сделках (далее - Порядок, Приложение N 3 к приказу ФНС России от 27.07.2012 N ММВ-7-13/524@), количественные, стоимостные и иные показатели Уведомления заполняются на основании данных первичных документов и (или) исходя из правил формирования доходов, расходов, стоимости активов в целях бухгалтерского учета.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ведения бухгалтерского учета в кредитных организациях регламентируются Положением Банка России от 16.07.2012 N 385-П "О правилах ведения бухгалтерского учета в кредитных организациях, расположенных на территории Российской Федерации".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9" w:history="1">
        <w:r>
          <w:rPr>
            <w:rFonts w:ascii="Calibri" w:hAnsi="Calibri" w:cs="Calibri"/>
            <w:color w:val="0000FF"/>
          </w:rPr>
          <w:t>пунктом 1.19</w:t>
        </w:r>
      </w:hyperlink>
      <w:r>
        <w:rPr>
          <w:rFonts w:ascii="Calibri" w:hAnsi="Calibri" w:cs="Calibri"/>
        </w:rPr>
        <w:t xml:space="preserve"> Положения N 385-П учет операций с ценными бумагами и производными финансовыми инструментами ведется в соответствии с нормативными актами Банка России, регулирующими данные вопросы.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 ведения бухгалтерского учета ПФИ определен </w:t>
      </w:r>
      <w:hyperlink r:id="rId10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от 04.07.2011 N 372-П о порядке ведения бухгалтерского учета производных финансовых инструментов (далее также Положение N 372-П).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N 372-П обязывает кредитные организации вести аналитический учет по видам производных финансовых инструментов в разрезе каждого договора или серии ПФИ, обращающегося на организованном рынке, определяемой спецификацией такого ПФИ или иными документами организатора торгов. Сальдирование стоимости ПФИ, представляющих собой актив или обязательство, и финансовых результатов </w:t>
      </w:r>
      <w:proofErr w:type="gramStart"/>
      <w:r>
        <w:rPr>
          <w:rFonts w:ascii="Calibri" w:hAnsi="Calibri" w:cs="Calibri"/>
        </w:rPr>
        <w:t>по</w:t>
      </w:r>
      <w:proofErr w:type="gramEnd"/>
      <w:r>
        <w:rPr>
          <w:rFonts w:ascii="Calibri" w:hAnsi="Calibri" w:cs="Calibri"/>
        </w:rPr>
        <w:t xml:space="preserve"> различным ПФИ не допускается. При этом аналитический учет доходов (расходов) от ПФИ должен обеспечить получение информации по каждому ПФИ.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bookmarkStart w:id="2" w:name="Par22"/>
    <w:bookmarkEnd w:id="2"/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consultantplus://offline/ref=012F516C979C45145B5884A11791E2E17A31D4AF6BC9C5F9B433F412568C7C0E5093E7CE8B7E1BAAi7V3I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Раздел 1А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12" w:history="1">
        <w:r>
          <w:rPr>
            <w:rFonts w:ascii="Calibri" w:hAnsi="Calibri" w:cs="Calibri"/>
            <w:color w:val="0000FF"/>
          </w:rPr>
          <w:t>пунктами 4.8</w:t>
        </w:r>
      </w:hyperlink>
      <w:r>
        <w:rPr>
          <w:rFonts w:ascii="Calibri" w:hAnsi="Calibri" w:cs="Calibri"/>
        </w:rPr>
        <w:t xml:space="preserve"> - </w:t>
      </w:r>
      <w:hyperlink r:id="rId13" w:history="1">
        <w:r>
          <w:rPr>
            <w:rFonts w:ascii="Calibri" w:hAnsi="Calibri" w:cs="Calibri"/>
            <w:color w:val="0000FF"/>
          </w:rPr>
          <w:t>4.9</w:t>
        </w:r>
      </w:hyperlink>
      <w:r>
        <w:rPr>
          <w:rFonts w:ascii="Calibri" w:hAnsi="Calibri" w:cs="Calibri"/>
        </w:rPr>
        <w:t xml:space="preserve"> Порядка в </w:t>
      </w:r>
      <w:hyperlink r:id="rId14" w:history="1">
        <w:r>
          <w:rPr>
            <w:rFonts w:ascii="Calibri" w:hAnsi="Calibri" w:cs="Calibri"/>
            <w:color w:val="0000FF"/>
          </w:rPr>
          <w:t>пунктах 210</w:t>
        </w:r>
      </w:hyperlink>
      <w:r>
        <w:rPr>
          <w:rFonts w:ascii="Calibri" w:hAnsi="Calibri" w:cs="Calibri"/>
        </w:rPr>
        <w:t xml:space="preserve"> - </w:t>
      </w:r>
      <w:hyperlink r:id="rId15" w:history="1">
        <w:r>
          <w:rPr>
            <w:rFonts w:ascii="Calibri" w:hAnsi="Calibri" w:cs="Calibri"/>
            <w:color w:val="0000FF"/>
          </w:rPr>
          <w:t>211</w:t>
        </w:r>
      </w:hyperlink>
      <w:r>
        <w:rPr>
          <w:rFonts w:ascii="Calibri" w:hAnsi="Calibri" w:cs="Calibri"/>
        </w:rPr>
        <w:t xml:space="preserve"> указываются код наименования сделки и код стороны данной сделки, которой является налогоплательщик,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приложением N 1</w:t>
        </w:r>
      </w:hyperlink>
      <w:r>
        <w:rPr>
          <w:rFonts w:ascii="Calibri" w:hAnsi="Calibri" w:cs="Calibri"/>
        </w:rPr>
        <w:t xml:space="preserve"> к Порядку.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Поскольку </w:t>
      </w:r>
      <w:hyperlink r:id="rId17" w:history="1">
        <w:r>
          <w:rPr>
            <w:rFonts w:ascii="Calibri" w:hAnsi="Calibri" w:cs="Calibri"/>
            <w:color w:val="0000FF"/>
          </w:rPr>
          <w:t>приложение N 1</w:t>
        </w:r>
      </w:hyperlink>
      <w:r>
        <w:rPr>
          <w:rFonts w:ascii="Calibri" w:hAnsi="Calibri" w:cs="Calibri"/>
        </w:rPr>
        <w:t xml:space="preserve"> к Порядку не содержит специальных кодов для ПФИ, в </w:t>
      </w:r>
      <w:hyperlink r:id="rId18" w:history="1">
        <w:r>
          <w:rPr>
            <w:rFonts w:ascii="Calibri" w:hAnsi="Calibri" w:cs="Calibri"/>
            <w:color w:val="0000FF"/>
          </w:rPr>
          <w:t>пункте 210</w:t>
        </w:r>
      </w:hyperlink>
      <w:r>
        <w:rPr>
          <w:rFonts w:ascii="Calibri" w:hAnsi="Calibri" w:cs="Calibri"/>
        </w:rPr>
        <w:t xml:space="preserve"> "Код наименования сделки" раздела 1А указывается код 032 "Иное", соответственно в </w:t>
      </w:r>
      <w:hyperlink r:id="rId19" w:history="1">
        <w:r>
          <w:rPr>
            <w:rFonts w:ascii="Calibri" w:hAnsi="Calibri" w:cs="Calibri"/>
            <w:color w:val="0000FF"/>
          </w:rPr>
          <w:t>пункте 211</w:t>
        </w:r>
      </w:hyperlink>
      <w:r>
        <w:rPr>
          <w:rFonts w:ascii="Calibri" w:hAnsi="Calibri" w:cs="Calibri"/>
        </w:rPr>
        <w:t xml:space="preserve"> "Код стороны сделки" - код 052 "Иная сторона".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20" w:history="1">
        <w:r>
          <w:rPr>
            <w:rFonts w:ascii="Calibri" w:hAnsi="Calibri" w:cs="Calibri"/>
            <w:color w:val="0000FF"/>
          </w:rPr>
          <w:t>пункту 4.19</w:t>
        </w:r>
      </w:hyperlink>
      <w:r>
        <w:rPr>
          <w:rFonts w:ascii="Calibri" w:hAnsi="Calibri" w:cs="Calibri"/>
        </w:rPr>
        <w:t xml:space="preserve"> Порядка в </w:t>
      </w:r>
      <w:hyperlink r:id="rId21" w:history="1">
        <w:r>
          <w:rPr>
            <w:rFonts w:ascii="Calibri" w:hAnsi="Calibri" w:cs="Calibri"/>
            <w:color w:val="0000FF"/>
          </w:rPr>
          <w:t>пункте 300</w:t>
        </w:r>
      </w:hyperlink>
      <w:r>
        <w:rPr>
          <w:rFonts w:ascii="Calibri" w:hAnsi="Calibri" w:cs="Calibri"/>
        </w:rPr>
        <w:t xml:space="preserve"> "Сумма доходов налогоплательщика по контролируемой сделке (группе однородных сделок) в рублях" раздела 1А отражается сумма доходов налогоплательщика по контролируемой сделке (группе однородных сделок), </w:t>
      </w:r>
      <w:r>
        <w:rPr>
          <w:rFonts w:ascii="Calibri" w:hAnsi="Calibri" w:cs="Calibri"/>
        </w:rPr>
        <w:lastRenderedPageBreak/>
        <w:t>определяемых в соответствии с правилами бухгалтерского учета, за календарный год в рублях.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22" w:history="1">
        <w:r>
          <w:rPr>
            <w:rFonts w:ascii="Calibri" w:hAnsi="Calibri" w:cs="Calibri"/>
            <w:color w:val="0000FF"/>
          </w:rPr>
          <w:t>пункту 4.21</w:t>
        </w:r>
      </w:hyperlink>
      <w:r>
        <w:rPr>
          <w:rFonts w:ascii="Calibri" w:hAnsi="Calibri" w:cs="Calibri"/>
        </w:rPr>
        <w:t xml:space="preserve"> Порядка в </w:t>
      </w:r>
      <w:hyperlink r:id="rId23" w:history="1">
        <w:r>
          <w:rPr>
            <w:rFonts w:ascii="Calibri" w:hAnsi="Calibri" w:cs="Calibri"/>
            <w:color w:val="0000FF"/>
          </w:rPr>
          <w:t>пункте 310</w:t>
        </w:r>
      </w:hyperlink>
      <w:r>
        <w:rPr>
          <w:rFonts w:ascii="Calibri" w:hAnsi="Calibri" w:cs="Calibri"/>
        </w:rPr>
        <w:t xml:space="preserve"> "Сумма расходов (убытков) налогоплательщика по контролируемой сделке (группе однородных сделок) в рублях" раздела 1А отражается сумма расходов налогоплательщика по контролируемой сделке (группе однородных сделок), определяемых в соответствии с правилами бухгалтерского учета, за календарный год в рублях.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Особенность расчетного форвардного контракта заключается в том, что одна сторона обязуется выплатить другой стороне на дату исполнения сделки (дата валютирования), сумму денежных средств в валюте расчетов (как </w:t>
      </w:r>
      <w:proofErr w:type="gramStart"/>
      <w:r>
        <w:rPr>
          <w:rFonts w:ascii="Calibri" w:hAnsi="Calibri" w:cs="Calibri"/>
        </w:rPr>
        <w:t>правило</w:t>
      </w:r>
      <w:proofErr w:type="gramEnd"/>
      <w:r>
        <w:rPr>
          <w:rFonts w:ascii="Calibri" w:hAnsi="Calibri" w:cs="Calibri"/>
        </w:rPr>
        <w:t xml:space="preserve"> торгуемая валюта или контрвалюта) по курсу, способ определения которого согласован сторонами.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расчетном форварде сумма денежных средств определяется как разница между величиной торгуемой валюты, рассчитанной по фиксированному курсу (или форвардный курс), согласованному сторонами на дату заключения сделки, и величиной торгуемой валюты, рассчитанной по курсу и на дату, согласованную сторонами (курс фиксинга).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в </w:t>
      </w:r>
      <w:hyperlink r:id="rId24" w:history="1">
        <w:r>
          <w:rPr>
            <w:rFonts w:ascii="Calibri" w:hAnsi="Calibri" w:cs="Calibri"/>
            <w:color w:val="0000FF"/>
          </w:rPr>
          <w:t>пунктах 300</w:t>
        </w:r>
      </w:hyperlink>
      <w:r>
        <w:rPr>
          <w:rFonts w:ascii="Calibri" w:hAnsi="Calibri" w:cs="Calibri"/>
        </w:rPr>
        <w:t xml:space="preserve"> и </w:t>
      </w:r>
      <w:hyperlink r:id="rId25" w:history="1">
        <w:r>
          <w:rPr>
            <w:rFonts w:ascii="Calibri" w:hAnsi="Calibri" w:cs="Calibri"/>
            <w:color w:val="0000FF"/>
          </w:rPr>
          <w:t>310</w:t>
        </w:r>
      </w:hyperlink>
      <w:r>
        <w:rPr>
          <w:rFonts w:ascii="Calibri" w:hAnsi="Calibri" w:cs="Calibri"/>
        </w:rPr>
        <w:t xml:space="preserve"> раздела 1А налогоплательщику необходимо указать финансовый результат по форвардному договору, сформированный в бухгалтерском учете кредитной организации в разрезе аналитических счетов, открытых соответственно к счетам 70613 "Доходы от производных финансовых инструментов" и 70614 "Расходы по производственным финансовым инструментам".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bookmarkStart w:id="3" w:name="Par31"/>
    <w:bookmarkEnd w:id="3"/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consultantplus://offline/ref=012F516C979C45145B5884A11791E2E17A31D4AF6BC9C5F9B433F412568C7C0E5093E7CE8B7E1BAFi7VDI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Раздел 1Б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26" w:history="1">
        <w:r>
          <w:rPr>
            <w:rFonts w:ascii="Calibri" w:hAnsi="Calibri" w:cs="Calibri"/>
            <w:color w:val="0000FF"/>
          </w:rPr>
          <w:t>пункте 020</w:t>
        </w:r>
      </w:hyperlink>
      <w:r>
        <w:rPr>
          <w:rFonts w:ascii="Calibri" w:hAnsi="Calibri" w:cs="Calibri"/>
        </w:rPr>
        <w:t xml:space="preserve"> "Тип предмета сделки" раздела 1Б указывается код типа предмета сделки "3", что означает иной объект гражданских прав.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27" w:history="1">
        <w:r>
          <w:rPr>
            <w:rFonts w:ascii="Calibri" w:hAnsi="Calibri" w:cs="Calibri"/>
            <w:color w:val="0000FF"/>
          </w:rPr>
          <w:t>пункте 030</w:t>
        </w:r>
      </w:hyperlink>
      <w:r>
        <w:rPr>
          <w:rFonts w:ascii="Calibri" w:hAnsi="Calibri" w:cs="Calibri"/>
        </w:rPr>
        <w:t xml:space="preserve"> "Наименование предмета сделки" отражается наименование предмета исполнения сделки согласно первичным документам.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Например, при совершении сделки по форвардному договору указывается направление сделки (купля или продажа), наименование базового актива, а также форвардный курс и курс фиксинга. Например, "Внебиржевой расчетный форвард. Продажа USD/RUB. Сумма 5000. Форвардный курс: 33.42. Курс фиксинга: 30.02".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8" w:history="1">
        <w:r>
          <w:rPr>
            <w:rFonts w:ascii="Calibri" w:hAnsi="Calibri" w:cs="Calibri"/>
            <w:color w:val="0000FF"/>
          </w:rPr>
          <w:t>Пункты 040</w:t>
        </w:r>
      </w:hyperlink>
      <w:r>
        <w:rPr>
          <w:rFonts w:ascii="Calibri" w:hAnsi="Calibri" w:cs="Calibri"/>
        </w:rPr>
        <w:t xml:space="preserve"> "Код предмета сделки (код по </w:t>
      </w:r>
      <w:hyperlink r:id="rId29" w:history="1">
        <w:r>
          <w:rPr>
            <w:rFonts w:ascii="Calibri" w:hAnsi="Calibri" w:cs="Calibri"/>
            <w:color w:val="0000FF"/>
          </w:rPr>
          <w:t>ТН ВЭД</w:t>
        </w:r>
      </w:hyperlink>
      <w:r>
        <w:rPr>
          <w:rFonts w:ascii="Calibri" w:hAnsi="Calibri" w:cs="Calibri"/>
        </w:rPr>
        <w:t xml:space="preserve">)" и </w:t>
      </w:r>
      <w:hyperlink r:id="rId30" w:history="1">
        <w:r>
          <w:rPr>
            <w:rFonts w:ascii="Calibri" w:hAnsi="Calibri" w:cs="Calibri"/>
            <w:color w:val="0000FF"/>
          </w:rPr>
          <w:t>043</w:t>
        </w:r>
      </w:hyperlink>
      <w:r>
        <w:rPr>
          <w:rFonts w:ascii="Calibri" w:hAnsi="Calibri" w:cs="Calibri"/>
        </w:rPr>
        <w:t xml:space="preserve"> "Код предмета сделки (код по ОКП)" раздела 1Б по сделкам ПФИ не заполняются.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31" w:history="1">
        <w:r>
          <w:rPr>
            <w:rFonts w:ascii="Calibri" w:hAnsi="Calibri" w:cs="Calibri"/>
            <w:color w:val="0000FF"/>
          </w:rPr>
          <w:t>пункте 045</w:t>
        </w:r>
      </w:hyperlink>
      <w:r>
        <w:rPr>
          <w:rFonts w:ascii="Calibri" w:hAnsi="Calibri" w:cs="Calibri"/>
        </w:rPr>
        <w:t xml:space="preserve"> "Код предмета сделки (код по </w:t>
      </w:r>
      <w:hyperlink r:id="rId32" w:history="1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)" листа раздела 1Б указывается код вида деятельности по </w:t>
      </w:r>
      <w:hyperlink r:id="rId33" w:history="1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>, в соответствии с которым оказываются услуги (выполняются работы или осуществляется иная деятельность), связанные с исполнением обязательств, возникших в результате контролируемой сделки. В случае совершения сделки ПФИ, например, допускается указывать код 65.23.4 "Заключение свопов, опционов и других биржевых сделок" даже в случае, если сделка ПФИ была заключена вне биржи.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34" w:history="1">
        <w:r>
          <w:rPr>
            <w:rFonts w:ascii="Calibri" w:hAnsi="Calibri" w:cs="Calibri"/>
            <w:color w:val="0000FF"/>
          </w:rPr>
          <w:t>пункте 090</w:t>
        </w:r>
      </w:hyperlink>
      <w:r>
        <w:rPr>
          <w:rFonts w:ascii="Calibri" w:hAnsi="Calibri" w:cs="Calibri"/>
        </w:rPr>
        <w:t xml:space="preserve"> "Место совершения сделки (адрес места доставки (разгрузки) товара; оказания услуги, работы; совершения сделки с иными объектами гражданских прав)" в части биржевых сделок ПФИ указывается местонахождение организатора биржевых торгов, в отношении внебиржевых сделок ПФИ указывается местонахождение лица, представляющего Уведомление.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5" w:history="1">
        <w:r>
          <w:rPr>
            <w:rFonts w:ascii="Calibri" w:hAnsi="Calibri" w:cs="Calibri"/>
            <w:color w:val="0000FF"/>
          </w:rPr>
          <w:t>Пункт 100</w:t>
        </w:r>
      </w:hyperlink>
      <w:r>
        <w:rPr>
          <w:rFonts w:ascii="Calibri" w:hAnsi="Calibri" w:cs="Calibri"/>
        </w:rPr>
        <w:t xml:space="preserve"> "Код условия поставки" раздела 1Б Уведомления в отношении сделок ПФИ не заполняется.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36" w:history="1">
        <w:r>
          <w:rPr>
            <w:rFonts w:ascii="Calibri" w:hAnsi="Calibri" w:cs="Calibri"/>
            <w:color w:val="0000FF"/>
          </w:rPr>
          <w:t>пункте 110</w:t>
        </w:r>
      </w:hyperlink>
      <w:r>
        <w:rPr>
          <w:rFonts w:ascii="Calibri" w:hAnsi="Calibri" w:cs="Calibri"/>
        </w:rPr>
        <w:t xml:space="preserve"> "Код единицы измерения по </w:t>
      </w:r>
      <w:hyperlink r:id="rId37" w:history="1">
        <w:r>
          <w:rPr>
            <w:rFonts w:ascii="Calibri" w:hAnsi="Calibri" w:cs="Calibri"/>
            <w:color w:val="0000FF"/>
          </w:rPr>
          <w:t>ОКЕИ</w:t>
        </w:r>
      </w:hyperlink>
      <w:r>
        <w:rPr>
          <w:rFonts w:ascii="Calibri" w:hAnsi="Calibri" w:cs="Calibri"/>
        </w:rPr>
        <w:t xml:space="preserve">" раздела 1Б в отношении сделок ПФИ используется единица измерения "штука" - код 796 по </w:t>
      </w:r>
      <w:hyperlink r:id="rId38" w:history="1">
        <w:r>
          <w:rPr>
            <w:rFonts w:ascii="Calibri" w:hAnsi="Calibri" w:cs="Calibri"/>
            <w:color w:val="0000FF"/>
          </w:rPr>
          <w:t>ОКЕИ</w:t>
        </w:r>
      </w:hyperlink>
      <w:r>
        <w:rPr>
          <w:rFonts w:ascii="Calibri" w:hAnsi="Calibri" w:cs="Calibri"/>
        </w:rPr>
        <w:t xml:space="preserve">, или "единица" - код 642 по </w:t>
      </w:r>
      <w:hyperlink r:id="rId39" w:history="1">
        <w:r>
          <w:rPr>
            <w:rFonts w:ascii="Calibri" w:hAnsi="Calibri" w:cs="Calibri"/>
            <w:color w:val="0000FF"/>
          </w:rPr>
          <w:t>ОКЕИ</w:t>
        </w:r>
      </w:hyperlink>
      <w:r>
        <w:rPr>
          <w:rFonts w:ascii="Calibri" w:hAnsi="Calibri" w:cs="Calibri"/>
        </w:rPr>
        <w:t>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в </w:t>
      </w:r>
      <w:hyperlink r:id="rId40" w:history="1">
        <w:r>
          <w:rPr>
            <w:rFonts w:ascii="Calibri" w:hAnsi="Calibri" w:cs="Calibri"/>
            <w:color w:val="0000FF"/>
          </w:rPr>
          <w:t>пункте 120</w:t>
        </w:r>
      </w:hyperlink>
      <w:r>
        <w:rPr>
          <w:rFonts w:ascii="Calibri" w:hAnsi="Calibri" w:cs="Calibri"/>
        </w:rPr>
        <w:t xml:space="preserve"> "Количество" раздела 1Б указывается количественная характеристика предмета исполнения сделки, которая будет соответствовать количеству штук (единиц) базисного актива форварда, например "500000" валюты доллар США - при отражении операции по поставке валюты во исполнение опциона сторонами сделки.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41" w:history="1">
        <w:r>
          <w:rPr>
            <w:rFonts w:ascii="Calibri" w:hAnsi="Calibri" w:cs="Calibri"/>
            <w:color w:val="0000FF"/>
          </w:rPr>
          <w:t>пункте 130</w:t>
        </w:r>
      </w:hyperlink>
      <w:r>
        <w:rPr>
          <w:rFonts w:ascii="Calibri" w:hAnsi="Calibri" w:cs="Calibri"/>
        </w:rPr>
        <w:t xml:space="preserve"> "Цена (тариф) за единицу измерения без учета НДС, акцизов и пошлины, руб." раздела 1Б отражается цена предмета исполнения сделки, указанная в первичных документах, а в случае отсутствия цены в первичном документе - исходя из правил формирования доходов, расходов, стоимости активов в целях бухгалтерского учета.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42" w:history="1">
        <w:r>
          <w:rPr>
            <w:rFonts w:ascii="Calibri" w:hAnsi="Calibri" w:cs="Calibri"/>
            <w:color w:val="0000FF"/>
          </w:rPr>
          <w:t>пункте 140</w:t>
        </w:r>
      </w:hyperlink>
      <w:r>
        <w:rPr>
          <w:rFonts w:ascii="Calibri" w:hAnsi="Calibri" w:cs="Calibri"/>
        </w:rPr>
        <w:t xml:space="preserve"> "Итого стоимость без учета НДС, акцизов и пошлины, руб." раздела 1Б отражается стоимость предмета исполнения сделки, указанная в первичных документах, а в </w:t>
      </w:r>
      <w:r>
        <w:rPr>
          <w:rFonts w:ascii="Calibri" w:hAnsi="Calibri" w:cs="Calibri"/>
        </w:rPr>
        <w:lastRenderedPageBreak/>
        <w:t>случае отсутствия стоимости в первичном документе - исходя из правил формирования доходов, расходов, стоимости активов в целях бухгалтерского учета.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отражении операции выплаты разницы между форвардным курсом и курсом фиксинга, умноженным на величину базисного актива, например сумму торгуемой валюты, и если форвард не предусматривает поставку базисного актива, то значения </w:t>
      </w:r>
      <w:hyperlink r:id="rId43" w:history="1">
        <w:r>
          <w:rPr>
            <w:rFonts w:ascii="Calibri" w:hAnsi="Calibri" w:cs="Calibri"/>
            <w:color w:val="0000FF"/>
          </w:rPr>
          <w:t>пунктов 130</w:t>
        </w:r>
      </w:hyperlink>
      <w:r>
        <w:rPr>
          <w:rFonts w:ascii="Calibri" w:hAnsi="Calibri" w:cs="Calibri"/>
        </w:rPr>
        <w:t xml:space="preserve"> и </w:t>
      </w:r>
      <w:hyperlink r:id="rId44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раздела 1Б также будут совпадать и соответствовать сумме реализованной курсовой разницы.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форвард предусматривает поставку валюты, то в </w:t>
      </w:r>
      <w:hyperlink r:id="rId45" w:history="1">
        <w:r>
          <w:rPr>
            <w:rFonts w:ascii="Calibri" w:hAnsi="Calibri" w:cs="Calibri"/>
            <w:color w:val="0000FF"/>
          </w:rPr>
          <w:t>пункте 130</w:t>
        </w:r>
      </w:hyperlink>
      <w:r>
        <w:rPr>
          <w:rFonts w:ascii="Calibri" w:hAnsi="Calibri" w:cs="Calibri"/>
        </w:rPr>
        <w:t xml:space="preserve"> раздела 1Б указывается курс фиксинга в рублевом эквиваленте (округленное до целого числа). В свою очередь в </w:t>
      </w:r>
      <w:hyperlink r:id="rId46" w:history="1">
        <w:r>
          <w:rPr>
            <w:rFonts w:ascii="Calibri" w:hAnsi="Calibri" w:cs="Calibri"/>
            <w:color w:val="0000FF"/>
          </w:rPr>
          <w:t>пункте 140</w:t>
        </w:r>
      </w:hyperlink>
      <w:r>
        <w:rPr>
          <w:rFonts w:ascii="Calibri" w:hAnsi="Calibri" w:cs="Calibri"/>
        </w:rPr>
        <w:t xml:space="preserve"> раздела 1Б указывается не расчетное значение, полученное в результате произведения значений </w:t>
      </w:r>
      <w:hyperlink r:id="rId47" w:history="1">
        <w:r>
          <w:rPr>
            <w:rFonts w:ascii="Calibri" w:hAnsi="Calibri" w:cs="Calibri"/>
            <w:color w:val="0000FF"/>
          </w:rPr>
          <w:t>пунктов 120</w:t>
        </w:r>
      </w:hyperlink>
      <w:r>
        <w:rPr>
          <w:rFonts w:ascii="Calibri" w:hAnsi="Calibri" w:cs="Calibri"/>
        </w:rPr>
        <w:t xml:space="preserve"> и </w:t>
      </w:r>
      <w:hyperlink r:id="rId48" w:history="1">
        <w:r>
          <w:rPr>
            <w:rFonts w:ascii="Calibri" w:hAnsi="Calibri" w:cs="Calibri"/>
            <w:color w:val="0000FF"/>
          </w:rPr>
          <w:t>130</w:t>
        </w:r>
      </w:hyperlink>
      <w:r>
        <w:rPr>
          <w:rFonts w:ascii="Calibri" w:hAnsi="Calibri" w:cs="Calibri"/>
        </w:rPr>
        <w:t xml:space="preserve"> раздела 1Б, а стоимость поставленной (приобретенной) валюты.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9" w:history="1">
        <w:r>
          <w:rPr>
            <w:rFonts w:ascii="Calibri" w:hAnsi="Calibri" w:cs="Calibri"/>
            <w:color w:val="0000FF"/>
          </w:rPr>
          <w:t>пунктом 5.19</w:t>
        </w:r>
      </w:hyperlink>
      <w:r>
        <w:rPr>
          <w:rFonts w:ascii="Calibri" w:hAnsi="Calibri" w:cs="Calibri"/>
        </w:rPr>
        <w:t xml:space="preserve"> Порядка в </w:t>
      </w:r>
      <w:hyperlink r:id="rId50" w:history="1">
        <w:r>
          <w:rPr>
            <w:rFonts w:ascii="Calibri" w:hAnsi="Calibri" w:cs="Calibri"/>
            <w:color w:val="0000FF"/>
          </w:rPr>
          <w:t>пункте 150</w:t>
        </w:r>
      </w:hyperlink>
      <w:r>
        <w:rPr>
          <w:rFonts w:ascii="Calibri" w:hAnsi="Calibri" w:cs="Calibri"/>
        </w:rPr>
        <w:t xml:space="preserve"> "Дата совершения сделки (цифрами день, месяц, год)" указывается дата признания дохода или расхода, в зависимости от финансового результата по сделке, в бухгалтерском учете.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7"/>
      <w:bookmarkEnd w:id="4"/>
      <w:r>
        <w:rPr>
          <w:rFonts w:ascii="Calibri" w:hAnsi="Calibri" w:cs="Calibri"/>
        </w:rPr>
        <w:t>2. О порядке заполнения Уведомления по сделке реализации (выбытия) облигаций и возмещении покупателем суммы начисленного купонного дохода.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1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ведения бухгалтерского учета в кредитных организациях регламентируются Положением Банка России от 16.07.2012 N 385-П "О правилах ведения бухгалтерского учета в кредитных организациях, расположенных на территории Российской Федерации" (далее - Положение N 385-П).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52" w:history="1">
        <w:r>
          <w:rPr>
            <w:rFonts w:ascii="Calibri" w:hAnsi="Calibri" w:cs="Calibri"/>
            <w:color w:val="0000FF"/>
          </w:rPr>
          <w:t>пункту 3.3.1</w:t>
        </w:r>
      </w:hyperlink>
      <w:r>
        <w:rPr>
          <w:rFonts w:ascii="Calibri" w:hAnsi="Calibri" w:cs="Calibri"/>
        </w:rPr>
        <w:t xml:space="preserve"> Приложения 10 "Порядок бухгалтерского учета вложений (инвестиций) в ценные бумаги и операций с ценными бумагами" (далее - Порядок бухгалтерского учета операций с ценными бумагами) к Положению N 385-П, стоимость долговых обязательств изменяется на сумму процентных доходов, начисленных до их выбытия, с учетом сумм, входящих в цену приобретения.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Следует отметить, что особенностью совершения сделок по приобретению или выбытию долговых обязательств, в частности облигаций, является сложившаяся деловая практика, согласно которой покупатель облигаций, предусматривающих купонные выплаты, включает в цену приобретения не только стоимость облигации (процент от номинальной стоимости), но также накопленный купонный доход (часть начисленного процентного (купонного) дохода в виде процента к номинальной стоимости облигации пропорционально количеству дней, прошедших от</w:t>
      </w:r>
      <w:proofErr w:type="gramEnd"/>
      <w:r>
        <w:rPr>
          <w:rFonts w:ascii="Calibri" w:hAnsi="Calibri" w:cs="Calibri"/>
        </w:rPr>
        <w:t xml:space="preserve"> даты выпуска облигации или даты выплаты предшествующего купонного дохода). Таким образом, продавец (предыдущий номинальный владелец облигации) получает также проценты за время владения облигацией, например </w:t>
      </w:r>
      <w:proofErr w:type="gramStart"/>
      <w:r>
        <w:rPr>
          <w:rFonts w:ascii="Calibri" w:hAnsi="Calibri" w:cs="Calibri"/>
        </w:rPr>
        <w:t>с даты</w:t>
      </w:r>
      <w:proofErr w:type="gramEnd"/>
      <w:r>
        <w:rPr>
          <w:rFonts w:ascii="Calibri" w:hAnsi="Calibri" w:cs="Calibri"/>
        </w:rPr>
        <w:t xml:space="preserve"> последней выплаты купонов, и не несет процентных потерь от продажи. При этом, как правило, в договорах сумма накопленного купонного дохода указывается отдельным пунктом.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Кроме того, согласно </w:t>
      </w:r>
      <w:hyperlink r:id="rId53" w:history="1">
        <w:r>
          <w:rPr>
            <w:rFonts w:ascii="Calibri" w:hAnsi="Calibri" w:cs="Calibri"/>
            <w:color w:val="0000FF"/>
          </w:rPr>
          <w:t>пункту 3.3.2</w:t>
        </w:r>
      </w:hyperlink>
      <w:r>
        <w:rPr>
          <w:rFonts w:ascii="Calibri" w:hAnsi="Calibri" w:cs="Calibri"/>
        </w:rPr>
        <w:t xml:space="preserve"> Порядка бухгалтерского учета операций с ценными бумагами бухгалтерский учет начисленного процентного (купонного) дохода ведется на отдельном (отдельных) лицевом (лицевых) счете (счетах), открываемых на соответствующих балансовых счетах второго порядка с кодом валюты, в которой выплачиваются проценты (погашается купон).</w:t>
      </w:r>
      <w:proofErr w:type="gramEnd"/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Учитывая </w:t>
      </w:r>
      <w:proofErr w:type="gramStart"/>
      <w:r>
        <w:rPr>
          <w:rFonts w:ascii="Calibri" w:hAnsi="Calibri" w:cs="Calibri"/>
        </w:rPr>
        <w:t>изложенное</w:t>
      </w:r>
      <w:proofErr w:type="gramEnd"/>
      <w:r>
        <w:rPr>
          <w:rFonts w:ascii="Calibri" w:hAnsi="Calibri" w:cs="Calibri"/>
        </w:rPr>
        <w:t xml:space="preserve">, в </w:t>
      </w:r>
      <w:hyperlink r:id="rId54" w:history="1">
        <w:r>
          <w:rPr>
            <w:rFonts w:ascii="Calibri" w:hAnsi="Calibri" w:cs="Calibri"/>
            <w:color w:val="0000FF"/>
          </w:rPr>
          <w:t>пункте 130</w:t>
        </w:r>
      </w:hyperlink>
      <w:r>
        <w:rPr>
          <w:rFonts w:ascii="Calibri" w:hAnsi="Calibri" w:cs="Calibri"/>
        </w:rPr>
        <w:t xml:space="preserve"> "Цена (тариф) за единицу измерения без учета НДС, акцизов и пошлины, руб." при совершении сделки выбытия (приобретения) долгового обязательства (облигации) указывается на отдельных листах раздела 1Б Уведомления: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цена одной облигации (процент от номинальной стоимости облигации, выраженный в рублях за 1 штуку) без учета накопленного купонного дохода, и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величина накопленного купонного дохода.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Соответственно в </w:t>
      </w:r>
      <w:hyperlink r:id="rId55" w:history="1">
        <w:r>
          <w:rPr>
            <w:rFonts w:ascii="Calibri" w:hAnsi="Calibri" w:cs="Calibri"/>
            <w:color w:val="0000FF"/>
          </w:rPr>
          <w:t>пункте 140</w:t>
        </w:r>
      </w:hyperlink>
      <w:r>
        <w:rPr>
          <w:rFonts w:ascii="Calibri" w:hAnsi="Calibri" w:cs="Calibri"/>
        </w:rPr>
        <w:t xml:space="preserve"> "Итого стоимость без учета НДС, акцизов и пошлины, руб." на отдельных листах раздела 1Б указывается стоимость выбывших долговых обязательств (без учета накопленного купонного дохода) и величина накопленного купонного дохода. Во втором случае, значения </w:t>
      </w:r>
      <w:hyperlink r:id="rId56" w:history="1">
        <w:r>
          <w:rPr>
            <w:rFonts w:ascii="Calibri" w:hAnsi="Calibri" w:cs="Calibri"/>
            <w:color w:val="0000FF"/>
          </w:rPr>
          <w:t>пунктов 130</w:t>
        </w:r>
      </w:hyperlink>
      <w:r>
        <w:rPr>
          <w:rFonts w:ascii="Calibri" w:hAnsi="Calibri" w:cs="Calibri"/>
        </w:rPr>
        <w:t xml:space="preserve"> и </w:t>
      </w:r>
      <w:hyperlink r:id="rId57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раздела 1Б будут совпадать.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58" w:history="1">
        <w:r>
          <w:rPr>
            <w:rFonts w:ascii="Calibri" w:hAnsi="Calibri" w:cs="Calibri"/>
            <w:color w:val="0000FF"/>
          </w:rPr>
          <w:t>пункту 4.19</w:t>
        </w:r>
      </w:hyperlink>
      <w:r>
        <w:rPr>
          <w:rFonts w:ascii="Calibri" w:hAnsi="Calibri" w:cs="Calibri"/>
        </w:rPr>
        <w:t xml:space="preserve"> Порядка в </w:t>
      </w:r>
      <w:hyperlink r:id="rId59" w:history="1">
        <w:r>
          <w:rPr>
            <w:rFonts w:ascii="Calibri" w:hAnsi="Calibri" w:cs="Calibri"/>
            <w:color w:val="0000FF"/>
          </w:rPr>
          <w:t>пункте 300</w:t>
        </w:r>
      </w:hyperlink>
      <w:r>
        <w:rPr>
          <w:rFonts w:ascii="Calibri" w:hAnsi="Calibri" w:cs="Calibri"/>
        </w:rPr>
        <w:t xml:space="preserve"> "Сумма доходов налогоплательщика по контролируемой сделке (группе однородных сделок) в рублях" отражаются соответственно сумма </w:t>
      </w:r>
      <w:r>
        <w:rPr>
          <w:rFonts w:ascii="Calibri" w:hAnsi="Calibri" w:cs="Calibri"/>
        </w:rPr>
        <w:lastRenderedPageBreak/>
        <w:t>доходов налогоплательщика по контролируемой сделке (группе однородных сделок), определяемых в соответствии с правилами бухгалтерского учета, за календарный год в рублях.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60" w:history="1">
        <w:r>
          <w:rPr>
            <w:rFonts w:ascii="Calibri" w:hAnsi="Calibri" w:cs="Calibri"/>
            <w:color w:val="0000FF"/>
          </w:rPr>
          <w:t>пункту 3.4</w:t>
        </w:r>
      </w:hyperlink>
      <w:r>
        <w:rPr>
          <w:rFonts w:ascii="Calibri" w:hAnsi="Calibri" w:cs="Calibri"/>
        </w:rPr>
        <w:t xml:space="preserve"> Порядка бухгалтерского учета операций с ценными бумагами, финансовый результат при выбытии (реализации) и погашении ценных бумаг определяется как разница между стоимостью ценной бумаги и ценой погашения либо ценой выбытия (реализации), определенной договором.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1" w:history="1">
        <w:r>
          <w:rPr>
            <w:rFonts w:ascii="Calibri" w:hAnsi="Calibri" w:cs="Calibri"/>
            <w:color w:val="0000FF"/>
          </w:rPr>
          <w:t>Главе 2</w:t>
        </w:r>
      </w:hyperlink>
      <w:r>
        <w:rPr>
          <w:rFonts w:ascii="Calibri" w:hAnsi="Calibri" w:cs="Calibri"/>
        </w:rPr>
        <w:t xml:space="preserve"> "Принципы отражения вложений в ценные бумаги на счетах бухгалтерского учета" Порядка бухгалтерского учета операций с ценными бумагами определены положения по отражению на балансовых счетах кредитных организаций текущей (справедливой) стоимости ценных бумаг.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Учитывая изложенное, в случае если по сделке с долговыми обязательствами в соответствии с правилами бухгалтерского учета образовался положительный финансовый результат (доход), как разница между текущей (справедливой) стоимостью облигации и ценой выбытия (реализации), определенной договоров, то сумма полученного дохода подлежит отражению в </w:t>
      </w:r>
      <w:hyperlink r:id="rId62" w:history="1">
        <w:r>
          <w:rPr>
            <w:rFonts w:ascii="Calibri" w:hAnsi="Calibri" w:cs="Calibri"/>
            <w:color w:val="0000FF"/>
          </w:rPr>
          <w:t>пункте 300</w:t>
        </w:r>
      </w:hyperlink>
      <w:r>
        <w:rPr>
          <w:rFonts w:ascii="Calibri" w:hAnsi="Calibri" w:cs="Calibri"/>
        </w:rPr>
        <w:t xml:space="preserve"> раздела 1А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же по сделке образовался отрицательный финансовый результат (расход), то сумма полученного расхода подлежит отражению в </w:t>
      </w:r>
      <w:hyperlink r:id="rId63" w:history="1">
        <w:r>
          <w:rPr>
            <w:rFonts w:ascii="Calibri" w:hAnsi="Calibri" w:cs="Calibri"/>
            <w:color w:val="0000FF"/>
          </w:rPr>
          <w:t>пункте 310</w:t>
        </w:r>
      </w:hyperlink>
      <w:r>
        <w:rPr>
          <w:rFonts w:ascii="Calibri" w:hAnsi="Calibri" w:cs="Calibri"/>
        </w:rPr>
        <w:t xml:space="preserve"> раздела 1А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Также следует отметить, что в </w:t>
      </w:r>
      <w:hyperlink r:id="rId64" w:history="1">
        <w:r>
          <w:rPr>
            <w:rFonts w:ascii="Calibri" w:hAnsi="Calibri" w:cs="Calibri"/>
            <w:color w:val="0000FF"/>
          </w:rPr>
          <w:t>пункте 020</w:t>
        </w:r>
      </w:hyperlink>
      <w:r>
        <w:rPr>
          <w:rFonts w:ascii="Calibri" w:hAnsi="Calibri" w:cs="Calibri"/>
        </w:rPr>
        <w:t xml:space="preserve"> "Тип предмета сделки" раздела 1Б при совершении сделок с ценными бумагами и производными финансовыми инструментами указывается код типа предмета сделки "3", что означает иной объект гражданских прав.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5" w:name="Par63"/>
      <w:bookmarkEnd w:id="5"/>
      <w:r>
        <w:rPr>
          <w:rFonts w:ascii="Calibri" w:hAnsi="Calibri" w:cs="Calibri"/>
        </w:rPr>
        <w:t>II. Иные вопросы.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65"/>
      <w:bookmarkEnd w:id="6"/>
      <w:r>
        <w:rPr>
          <w:rFonts w:ascii="Calibri" w:hAnsi="Calibri" w:cs="Calibri"/>
        </w:rPr>
        <w:t>3. О заполнении Уведомления в отношении договоров страхования.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65" w:history="1">
        <w:r>
          <w:rPr>
            <w:rFonts w:ascii="Calibri" w:hAnsi="Calibri" w:cs="Calibri"/>
            <w:color w:val="0000FF"/>
          </w:rPr>
          <w:t>пункту 1 статьи 927</w:t>
        </w:r>
      </w:hyperlink>
      <w:r>
        <w:rPr>
          <w:rFonts w:ascii="Calibri" w:hAnsi="Calibri" w:cs="Calibri"/>
        </w:rPr>
        <w:t xml:space="preserve"> Гражданского кодекса Российской Федерации (далее - ГК РФ) страхование осуществляется на основании договоров имущественного или личного страхования, заключаемых гражданином или юридическим лицом (страхователем) со страховой организацией (страховщиком).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Договор страхования может быть заключен путем составления одного документа (</w:t>
      </w:r>
      <w:hyperlink r:id="rId66" w:history="1">
        <w:r>
          <w:rPr>
            <w:rFonts w:ascii="Calibri" w:hAnsi="Calibri" w:cs="Calibri"/>
            <w:color w:val="0000FF"/>
          </w:rPr>
          <w:t>пункт 2 статьи 434</w:t>
        </w:r>
      </w:hyperlink>
      <w:r>
        <w:rPr>
          <w:rFonts w:ascii="Calibri" w:hAnsi="Calibri" w:cs="Calibri"/>
        </w:rPr>
        <w:t xml:space="preserve"> ГК РФ) либо вручения страховщиком страхователю на основании его письменного или устного заявления страхового полиса (свидетельства, сертификата, квитанции), подписанного страховщиком.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абзаце первом </w:t>
      </w:r>
      <w:hyperlink r:id="rId67" w:history="1">
        <w:r>
          <w:rPr>
            <w:rFonts w:ascii="Calibri" w:hAnsi="Calibri" w:cs="Calibri"/>
            <w:color w:val="0000FF"/>
          </w:rPr>
          <w:t>пункта 2 статьи 940</w:t>
        </w:r>
      </w:hyperlink>
      <w:r>
        <w:rPr>
          <w:rFonts w:ascii="Calibri" w:hAnsi="Calibri" w:cs="Calibri"/>
        </w:rPr>
        <w:t xml:space="preserve"> ГК РФ документов.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по договорам добровольного и обязательного страхования Уведомление заполняется в отношении каждого индивидуального страхового полиса.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68" w:history="1">
        <w:r>
          <w:rPr>
            <w:rFonts w:ascii="Calibri" w:hAnsi="Calibri" w:cs="Calibri"/>
            <w:color w:val="0000FF"/>
          </w:rPr>
          <w:t>пункту 5.1</w:t>
        </w:r>
      </w:hyperlink>
      <w:r>
        <w:rPr>
          <w:rFonts w:ascii="Calibri" w:hAnsi="Calibri" w:cs="Calibri"/>
        </w:rPr>
        <w:t xml:space="preserve"> Порядка в </w:t>
      </w:r>
      <w:hyperlink r:id="rId69" w:history="1">
        <w:r>
          <w:rPr>
            <w:rFonts w:ascii="Calibri" w:hAnsi="Calibri" w:cs="Calibri"/>
            <w:color w:val="0000FF"/>
          </w:rPr>
          <w:t>разделе 1Б</w:t>
        </w:r>
      </w:hyperlink>
      <w:r>
        <w:rPr>
          <w:rFonts w:ascii="Calibri" w:hAnsi="Calibri" w:cs="Calibri"/>
        </w:rPr>
        <w:t xml:space="preserve"> указываются сведения об обязательствах, являющихся предметом сделки. </w:t>
      </w:r>
      <w:proofErr w:type="gramStart"/>
      <w:r>
        <w:rPr>
          <w:rFonts w:ascii="Calibri" w:hAnsi="Calibri" w:cs="Calibri"/>
        </w:rPr>
        <w:t xml:space="preserve">В листе </w:t>
      </w:r>
      <w:hyperlink r:id="rId70" w:history="1">
        <w:r>
          <w:rPr>
            <w:rFonts w:ascii="Calibri" w:hAnsi="Calibri" w:cs="Calibri"/>
            <w:color w:val="0000FF"/>
          </w:rPr>
          <w:t>раздела 1Б</w:t>
        </w:r>
      </w:hyperlink>
      <w:r>
        <w:rPr>
          <w:rFonts w:ascii="Calibri" w:hAnsi="Calibri" w:cs="Calibri"/>
        </w:rPr>
        <w:t xml:space="preserve"> раскрывается информация об операциях с предметом исполнения сделки (отгрузка товаров, выполнение работ, оказание услуг, совершение операций с иным объектом гражданских прав) при исполнении обязательств, возникших в результате контролируемой сделки (группы однородных сделок), сведения о которой приведены в </w:t>
      </w:r>
      <w:hyperlink r:id="rId71" w:history="1">
        <w:r>
          <w:rPr>
            <w:rFonts w:ascii="Calibri" w:hAnsi="Calibri" w:cs="Calibri"/>
            <w:color w:val="0000FF"/>
          </w:rPr>
          <w:t>разделе 1А</w:t>
        </w:r>
      </w:hyperlink>
      <w:r>
        <w:rPr>
          <w:rFonts w:ascii="Calibri" w:hAnsi="Calibri" w:cs="Calibri"/>
        </w:rPr>
        <w:t xml:space="preserve">. Для каждой операции заполняются </w:t>
      </w:r>
      <w:hyperlink r:id="rId72" w:history="1">
        <w:r>
          <w:rPr>
            <w:rFonts w:ascii="Calibri" w:hAnsi="Calibri" w:cs="Calibri"/>
            <w:color w:val="0000FF"/>
          </w:rPr>
          <w:t>пункты 030</w:t>
        </w:r>
      </w:hyperlink>
      <w:r>
        <w:rPr>
          <w:rFonts w:ascii="Calibri" w:hAnsi="Calibri" w:cs="Calibri"/>
        </w:rPr>
        <w:t xml:space="preserve"> - </w:t>
      </w:r>
      <w:hyperlink r:id="rId73" w:history="1">
        <w:r>
          <w:rPr>
            <w:rFonts w:ascii="Calibri" w:hAnsi="Calibri" w:cs="Calibri"/>
            <w:color w:val="0000FF"/>
          </w:rPr>
          <w:t>150</w:t>
        </w:r>
      </w:hyperlink>
      <w:r>
        <w:rPr>
          <w:rFonts w:ascii="Calibri" w:hAnsi="Calibri" w:cs="Calibri"/>
        </w:rPr>
        <w:t xml:space="preserve"> раздела 1Б.</w:t>
      </w:r>
      <w:proofErr w:type="gramEnd"/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Соответственно в </w:t>
      </w:r>
      <w:hyperlink r:id="rId74" w:history="1">
        <w:r>
          <w:rPr>
            <w:rFonts w:ascii="Calibri" w:hAnsi="Calibri" w:cs="Calibri"/>
            <w:color w:val="0000FF"/>
          </w:rPr>
          <w:t>разделе 1Б</w:t>
        </w:r>
      </w:hyperlink>
      <w:r>
        <w:rPr>
          <w:rFonts w:ascii="Calibri" w:hAnsi="Calibri" w:cs="Calibri"/>
        </w:rPr>
        <w:t xml:space="preserve"> отражаются сведения о действиях при исполнении обязательств, возникших из договора страхования, сведения о котором приведены в </w:t>
      </w:r>
      <w:hyperlink r:id="rId75" w:history="1">
        <w:r>
          <w:rPr>
            <w:rFonts w:ascii="Calibri" w:hAnsi="Calibri" w:cs="Calibri"/>
            <w:color w:val="0000FF"/>
          </w:rPr>
          <w:t>разделе 1А</w:t>
        </w:r>
      </w:hyperlink>
      <w:r>
        <w:rPr>
          <w:rFonts w:ascii="Calibri" w:hAnsi="Calibri" w:cs="Calibri"/>
        </w:rPr>
        <w:t>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зависимости от того, какая из сторон контролируемой сделки заполняет Уведомление, в </w:t>
      </w:r>
      <w:hyperlink r:id="rId76" w:history="1">
        <w:r>
          <w:rPr>
            <w:rFonts w:ascii="Calibri" w:hAnsi="Calibri" w:cs="Calibri"/>
            <w:color w:val="0000FF"/>
          </w:rPr>
          <w:t>пунктах 130</w:t>
        </w:r>
      </w:hyperlink>
      <w:r>
        <w:rPr>
          <w:rFonts w:ascii="Calibri" w:hAnsi="Calibri" w:cs="Calibri"/>
        </w:rPr>
        <w:t xml:space="preserve"> и </w:t>
      </w:r>
      <w:hyperlink r:id="rId77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раздела 1Б указываются следующие сведения: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страхователь отражает уплаченные страховые взносы по договору и (или) суммы полученного страхового возмещения (при наступлении страхового случая), признанные в бухгалтерском учете;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страховщик отражает полученные суммы страховых взносов и (или) расходы, понесенные при выплате страхового возмещения.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76"/>
      <w:bookmarkEnd w:id="7"/>
      <w:r>
        <w:rPr>
          <w:rFonts w:ascii="Calibri" w:hAnsi="Calibri" w:cs="Calibri"/>
        </w:rPr>
        <w:t>4. Об особенностях заполнения Уведомления по агентским сделкам.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Согласно </w:t>
      </w:r>
      <w:hyperlink r:id="rId78" w:history="1">
        <w:r>
          <w:rPr>
            <w:rFonts w:ascii="Calibri" w:hAnsi="Calibri" w:cs="Calibri"/>
            <w:color w:val="0000FF"/>
          </w:rPr>
          <w:t>пункту 1 статьи 971</w:t>
        </w:r>
      </w:hyperlink>
      <w:r>
        <w:rPr>
          <w:rFonts w:ascii="Calibri" w:hAnsi="Calibri" w:cs="Calibri"/>
        </w:rPr>
        <w:t xml:space="preserve"> ГК РФ права и обязанности в сделке по договору поручения, совершенным поверенным, возникают непосредственно у доверителя, минуя поверенного.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сделкам, совершенным комиссионером в рамках договора комиссии, права и обязанности приобретает комиссионер (</w:t>
      </w:r>
      <w:hyperlink r:id="rId79" w:history="1">
        <w:r>
          <w:rPr>
            <w:rFonts w:ascii="Calibri" w:hAnsi="Calibri" w:cs="Calibri"/>
            <w:color w:val="0000FF"/>
          </w:rPr>
          <w:t>пункт 1 статьи 990</w:t>
        </w:r>
      </w:hyperlink>
      <w:r>
        <w:rPr>
          <w:rFonts w:ascii="Calibri" w:hAnsi="Calibri" w:cs="Calibri"/>
        </w:rPr>
        <w:t xml:space="preserve"> ГК РФ) с уступкой комитенту права требования при неисполнении договорных обязательств (</w:t>
      </w:r>
      <w:hyperlink r:id="rId80" w:history="1">
        <w:r>
          <w:rPr>
            <w:rFonts w:ascii="Calibri" w:hAnsi="Calibri" w:cs="Calibri"/>
            <w:color w:val="0000FF"/>
          </w:rPr>
          <w:t>пункт 2 статьи 993</w:t>
        </w:r>
      </w:hyperlink>
      <w:r>
        <w:rPr>
          <w:rFonts w:ascii="Calibri" w:hAnsi="Calibri" w:cs="Calibri"/>
        </w:rPr>
        <w:t xml:space="preserve"> ГК РФ). При этом комиссионер не отвечает перед комитентом за неисполнение третьим лицом договорных обязательств, за исключением случаев, когда комиссионер не проявил достаточной осмотрительности в выборе этого лица или принял на себя поручительство за неисполнение сделки третьим лицом (</w:t>
      </w:r>
      <w:hyperlink r:id="rId81" w:history="1">
        <w:r>
          <w:rPr>
            <w:rFonts w:ascii="Calibri" w:hAnsi="Calibri" w:cs="Calibri"/>
            <w:color w:val="0000FF"/>
          </w:rPr>
          <w:t>пункт 1 статьи 993</w:t>
        </w:r>
      </w:hyperlink>
      <w:r>
        <w:rPr>
          <w:rFonts w:ascii="Calibri" w:hAnsi="Calibri" w:cs="Calibri"/>
        </w:rPr>
        <w:t xml:space="preserve"> ГК РФ).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агентских договоров применяются правила либо о поручении, либо о комиссии в зависимости от того, от чьего имени действует агент при заключении сделки с третьими лицами (</w:t>
      </w:r>
      <w:hyperlink r:id="rId82" w:history="1">
        <w:r>
          <w:rPr>
            <w:rFonts w:ascii="Calibri" w:hAnsi="Calibri" w:cs="Calibri"/>
            <w:color w:val="0000FF"/>
          </w:rPr>
          <w:t>статья 1011</w:t>
        </w:r>
      </w:hyperlink>
      <w:r>
        <w:rPr>
          <w:rFonts w:ascii="Calibri" w:hAnsi="Calibri" w:cs="Calibri"/>
        </w:rPr>
        <w:t xml:space="preserve"> ГК РФ).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отношениям, вытекающим из агентского договора, соответственно применяются правила либо о поручении (</w:t>
      </w:r>
      <w:hyperlink r:id="rId83" w:history="1">
        <w:r>
          <w:rPr>
            <w:rFonts w:ascii="Calibri" w:hAnsi="Calibri" w:cs="Calibri"/>
            <w:color w:val="0000FF"/>
          </w:rPr>
          <w:t>глава 49</w:t>
        </w:r>
      </w:hyperlink>
      <w:r>
        <w:rPr>
          <w:rFonts w:ascii="Calibri" w:hAnsi="Calibri" w:cs="Calibri"/>
        </w:rPr>
        <w:t xml:space="preserve"> ГК РФ), либо о комиссии (</w:t>
      </w:r>
      <w:hyperlink r:id="rId84" w:history="1">
        <w:r>
          <w:rPr>
            <w:rFonts w:ascii="Calibri" w:hAnsi="Calibri" w:cs="Calibri"/>
            <w:color w:val="0000FF"/>
          </w:rPr>
          <w:t>глава 51</w:t>
        </w:r>
      </w:hyperlink>
      <w:r>
        <w:rPr>
          <w:rFonts w:ascii="Calibri" w:hAnsi="Calibri" w:cs="Calibri"/>
        </w:rPr>
        <w:t xml:space="preserve"> ГК РФ), в зависимости от того, действует агент по условиям этого договора от имени принципала или от своего имени.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Учитывая изложенное, в случае если по контролируемой сделке, совершенной агентом с третьим лицом, приобретает права и становится обязанным агент, хотя бы принципал и был назван в сделке или вступил с третьим лицом в непосредственные отношения по ее исполнению, то Уведомление необходимо заполнять в соответствии с разъяснениями, представленными в </w:t>
      </w:r>
      <w:hyperlink r:id="rId85" w:history="1">
        <w:r>
          <w:rPr>
            <w:rFonts w:ascii="Calibri" w:hAnsi="Calibri" w:cs="Calibri"/>
            <w:color w:val="0000FF"/>
          </w:rPr>
          <w:t>пункте 12</w:t>
        </w:r>
      </w:hyperlink>
      <w:r>
        <w:rPr>
          <w:rFonts w:ascii="Calibri" w:hAnsi="Calibri" w:cs="Calibri"/>
        </w:rPr>
        <w:t xml:space="preserve"> письма ФНС России от 01.11.2013 N ОА-4-13/19652.</w:t>
      </w:r>
      <w:proofErr w:type="gramEnd"/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Следует отметить, что если контролируемая сделка совершена по договору комиссии или агентскому договору, в отношении которого применяются правила договора комиссии, обязанность представить Уведомление возникает у комиссионера, комитента и третьего лица (в случае, если перечисленные лица являются российскими налогоплательщиками в соответствии с положениями </w:t>
      </w:r>
      <w:hyperlink r:id="rId86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>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контролируемая сделка совершена по агентскому договору, в отношении которого применяются правила о поручении, то, соответственно, права и обязанности в сделке, совершенной агентом (поверенным), возникают непосредственно у принципала (доверителя), минуя агента (поверенного). При отражении дохода (расхода), возникающего у принципала (доверителя), отдельные пункты Уведомления заполняются следующим образом: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87" w:history="1">
        <w:r>
          <w:rPr>
            <w:rFonts w:ascii="Calibri" w:hAnsi="Calibri" w:cs="Calibri"/>
            <w:color w:val="0000FF"/>
          </w:rPr>
          <w:t>пункте 210</w:t>
        </w:r>
      </w:hyperlink>
      <w:r>
        <w:rPr>
          <w:rFonts w:ascii="Calibri" w:hAnsi="Calibri" w:cs="Calibri"/>
        </w:rPr>
        <w:t xml:space="preserve"> "Код наименования сделки" листа раздела 1А указывается код 015 "Купля-продажа";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88" w:history="1">
        <w:r>
          <w:rPr>
            <w:rFonts w:ascii="Calibri" w:hAnsi="Calibri" w:cs="Calibri"/>
            <w:color w:val="0000FF"/>
          </w:rPr>
          <w:t>пункте 060</w:t>
        </w:r>
      </w:hyperlink>
      <w:r>
        <w:rPr>
          <w:rFonts w:ascii="Calibri" w:hAnsi="Calibri" w:cs="Calibri"/>
        </w:rPr>
        <w:t xml:space="preserve"> "Номер договора" листа раздела 1Б указываются реквизиты договора купли-продажи между принципалом (доверителем) и третьим лицом (покупателем, продавцом);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89" w:history="1">
        <w:r>
          <w:rPr>
            <w:rFonts w:ascii="Calibri" w:hAnsi="Calibri" w:cs="Calibri"/>
            <w:color w:val="0000FF"/>
          </w:rPr>
          <w:t>разделе 2</w:t>
        </w:r>
      </w:hyperlink>
      <w:r>
        <w:rPr>
          <w:rFonts w:ascii="Calibri" w:hAnsi="Calibri" w:cs="Calibri"/>
        </w:rPr>
        <w:t xml:space="preserve"> "Сведения об организации - участнике контролируемой сделки" соответственно указываются третьего лица (покупателя, продавца).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88"/>
      <w:bookmarkEnd w:id="8"/>
      <w:r>
        <w:rPr>
          <w:rFonts w:ascii="Calibri" w:hAnsi="Calibri" w:cs="Calibri"/>
        </w:rPr>
        <w:t xml:space="preserve">5. Об отражении в </w:t>
      </w:r>
      <w:hyperlink r:id="rId90" w:history="1">
        <w:r>
          <w:rPr>
            <w:rFonts w:ascii="Calibri" w:hAnsi="Calibri" w:cs="Calibri"/>
            <w:color w:val="0000FF"/>
          </w:rPr>
          <w:t>пунктах 130</w:t>
        </w:r>
      </w:hyperlink>
      <w:r>
        <w:rPr>
          <w:rFonts w:ascii="Calibri" w:hAnsi="Calibri" w:cs="Calibri"/>
        </w:rPr>
        <w:t xml:space="preserve"> и </w:t>
      </w:r>
      <w:hyperlink r:id="rId91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раздела 1Б Уведомления суммы экспортной пошлины.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92" w:history="1">
        <w:r>
          <w:rPr>
            <w:rFonts w:ascii="Calibri" w:hAnsi="Calibri" w:cs="Calibri"/>
            <w:color w:val="0000FF"/>
          </w:rPr>
          <w:t>пунктам 5.17</w:t>
        </w:r>
      </w:hyperlink>
      <w:r>
        <w:rPr>
          <w:rFonts w:ascii="Calibri" w:hAnsi="Calibri" w:cs="Calibri"/>
        </w:rPr>
        <w:t xml:space="preserve"> и </w:t>
      </w:r>
      <w:hyperlink r:id="rId93" w:history="1">
        <w:r>
          <w:rPr>
            <w:rFonts w:ascii="Calibri" w:hAnsi="Calibri" w:cs="Calibri"/>
            <w:color w:val="0000FF"/>
          </w:rPr>
          <w:t>5.18</w:t>
        </w:r>
      </w:hyperlink>
      <w:r>
        <w:rPr>
          <w:rFonts w:ascii="Calibri" w:hAnsi="Calibri" w:cs="Calibri"/>
        </w:rPr>
        <w:t xml:space="preserve"> Порядка в </w:t>
      </w:r>
      <w:hyperlink r:id="rId94" w:history="1">
        <w:r>
          <w:rPr>
            <w:rFonts w:ascii="Calibri" w:hAnsi="Calibri" w:cs="Calibri"/>
            <w:color w:val="0000FF"/>
          </w:rPr>
          <w:t>пунктах 130</w:t>
        </w:r>
      </w:hyperlink>
      <w:r>
        <w:rPr>
          <w:rFonts w:ascii="Calibri" w:hAnsi="Calibri" w:cs="Calibri"/>
        </w:rPr>
        <w:t xml:space="preserve"> "Цена (тариф) за единицу измерения без учета НДС, акцизов и пошлины, руб." и </w:t>
      </w:r>
      <w:hyperlink r:id="rId95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"Итого стоимость без учета НДС, акцизов и пошлины, руб." раздела 1Б Уведомления о контролируемых сделках указывается соответственно цена предмета исполнения сделки и стоимость предмета исполнения сделки, указанная в первичных документах.</w:t>
      </w:r>
      <w:proofErr w:type="gramEnd"/>
      <w:r>
        <w:rPr>
          <w:rFonts w:ascii="Calibri" w:hAnsi="Calibri" w:cs="Calibri"/>
        </w:rPr>
        <w:t xml:space="preserve"> В случае совершения сделок по экспорту товаров, такими первичными документами могут являться: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договор (контракт) и приложения к нему;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счет-фактура (инвойс);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таможенная декларация, подтверждающая пересечение товаром таможенной границы Российской Федерации;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транспортные, товаросопроводительные и (или) иные документы с отметками таможенных органов с мест убытия, подтверждающих вывоз товара.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общем случае, при отражении операций в бухгалтерском учете "по отгрузке", цена предмета исполнения сделки и общая стоимость (выручка от реализации) отражается на основании первичного учетного документа на дату перехода права собственности на экспортируемый товар к покупателю.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Указанные сведения (цена и общая стоимость реализуемого на экспорт товара) должны быть перенесены в </w:t>
      </w:r>
      <w:hyperlink r:id="rId96" w:history="1">
        <w:r>
          <w:rPr>
            <w:rFonts w:ascii="Calibri" w:hAnsi="Calibri" w:cs="Calibri"/>
            <w:color w:val="0000FF"/>
          </w:rPr>
          <w:t>пункты 130</w:t>
        </w:r>
      </w:hyperlink>
      <w:r>
        <w:rPr>
          <w:rFonts w:ascii="Calibri" w:hAnsi="Calibri" w:cs="Calibri"/>
        </w:rPr>
        <w:t xml:space="preserve"> и </w:t>
      </w:r>
      <w:hyperlink r:id="rId97" w:history="1">
        <w:r>
          <w:rPr>
            <w:rFonts w:ascii="Calibri" w:hAnsi="Calibri" w:cs="Calibri"/>
            <w:color w:val="0000FF"/>
          </w:rPr>
          <w:t>140</w:t>
        </w:r>
      </w:hyperlink>
      <w:r>
        <w:rPr>
          <w:rFonts w:ascii="Calibri" w:hAnsi="Calibri" w:cs="Calibri"/>
        </w:rPr>
        <w:t xml:space="preserve"> раздела 1Б уведомления о контролируемых сделках соответственно.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Однако в случае если в первичном документе отсутствует информация о цене и (или) стоимости предмета исполнения сделки, указанные показатели формируются исходя из правил формирования доходов, расходов, стоимости активов в целях бухгалтерского учета. При этом в соответствии с </w:t>
      </w:r>
      <w:hyperlink r:id="rId98" w:history="1">
        <w:r>
          <w:rPr>
            <w:rFonts w:ascii="Calibri" w:hAnsi="Calibri" w:cs="Calibri"/>
            <w:color w:val="0000FF"/>
          </w:rPr>
          <w:t>пунктом 3</w:t>
        </w:r>
      </w:hyperlink>
      <w:r>
        <w:rPr>
          <w:rFonts w:ascii="Calibri" w:hAnsi="Calibri" w:cs="Calibri"/>
        </w:rPr>
        <w:t xml:space="preserve"> Положения по бухгалтерскому учету "Доходы организации" ПБУ 9/99 (утвержден приказом Минфина России от 06.05.1999 N 32н) рассчитанные таким образом показатели не должны включать суммы НДС, акцизов и таможенных пошлин.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9" w:name="Par98"/>
      <w:bookmarkEnd w:id="9"/>
      <w:r>
        <w:rPr>
          <w:rFonts w:ascii="Calibri" w:hAnsi="Calibri" w:cs="Calibri"/>
        </w:rPr>
        <w:t xml:space="preserve">6. Об использовании кодов </w:t>
      </w:r>
      <w:hyperlink r:id="rId99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 xml:space="preserve"> при заполнении показателя "Код ОКАТО"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обеспечения систематизации и идентификации на всей территории Российской Федерации муниципальных образований и входящих в их состав населенных пунктов Минфином России принято решение о переходе с 01.01.2014 на использование в бюджетном процессе вместо применяемых в настоящее время кодов административно-территориального образования в соответствии с Общероссийским </w:t>
      </w:r>
      <w:hyperlink r:id="rId100" w:history="1">
        <w:r>
          <w:rPr>
            <w:rFonts w:ascii="Calibri" w:hAnsi="Calibri" w:cs="Calibri"/>
            <w:color w:val="0000FF"/>
          </w:rPr>
          <w:t>классификатором</w:t>
        </w:r>
      </w:hyperlink>
      <w:r>
        <w:rPr>
          <w:rFonts w:ascii="Calibri" w:hAnsi="Calibri" w:cs="Calibri"/>
        </w:rPr>
        <w:t xml:space="preserve"> объектов административно-территориального деления </w:t>
      </w:r>
      <w:proofErr w:type="gramStart"/>
      <w:r>
        <w:rPr>
          <w:rFonts w:ascii="Calibri" w:hAnsi="Calibri" w:cs="Calibri"/>
        </w:rPr>
        <w:t>ОК</w:t>
      </w:r>
      <w:proofErr w:type="gramEnd"/>
      <w:r>
        <w:rPr>
          <w:rFonts w:ascii="Calibri" w:hAnsi="Calibri" w:cs="Calibri"/>
        </w:rPr>
        <w:t xml:space="preserve"> 019-95 (ОКАТО) кодов Общероссийского </w:t>
      </w:r>
      <w:hyperlink r:id="rId101" w:history="1">
        <w:r>
          <w:rPr>
            <w:rFonts w:ascii="Calibri" w:hAnsi="Calibri" w:cs="Calibri"/>
            <w:color w:val="0000FF"/>
          </w:rPr>
          <w:t>классификатора</w:t>
        </w:r>
      </w:hyperlink>
      <w:r>
        <w:rPr>
          <w:rFonts w:ascii="Calibri" w:hAnsi="Calibri" w:cs="Calibri"/>
        </w:rPr>
        <w:t xml:space="preserve"> территорий муниципальных образований ОК 033-2013 (</w:t>
      </w:r>
      <w:proofErr w:type="gramStart"/>
      <w:r>
        <w:rPr>
          <w:rFonts w:ascii="Calibri" w:hAnsi="Calibri" w:cs="Calibri"/>
        </w:rPr>
        <w:t xml:space="preserve">ОКТМО), налогоплательщикам, до внесения изменений в приказ ФНС России от 27.07.2012 N ММВ-7-13/524@, при заполнении Уведомления в показателе "Код ОКАТО" рекомендуется указывать код </w:t>
      </w:r>
      <w:hyperlink r:id="rId102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>.</w:t>
      </w:r>
      <w:proofErr w:type="gramEnd"/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101"/>
      <w:bookmarkEnd w:id="10"/>
      <w:r>
        <w:rPr>
          <w:rFonts w:ascii="Calibri" w:hAnsi="Calibri" w:cs="Calibri"/>
        </w:rPr>
        <w:t xml:space="preserve">7. О заполнении </w:t>
      </w:r>
      <w:hyperlink r:id="rId103" w:history="1">
        <w:r>
          <w:rPr>
            <w:rFonts w:ascii="Calibri" w:hAnsi="Calibri" w:cs="Calibri"/>
            <w:color w:val="0000FF"/>
          </w:rPr>
          <w:t>пунктов 040</w:t>
        </w:r>
      </w:hyperlink>
      <w:r>
        <w:rPr>
          <w:rFonts w:ascii="Calibri" w:hAnsi="Calibri" w:cs="Calibri"/>
        </w:rPr>
        <w:t xml:space="preserve"> и </w:t>
      </w:r>
      <w:hyperlink r:id="rId104" w:history="1">
        <w:r>
          <w:rPr>
            <w:rFonts w:ascii="Calibri" w:hAnsi="Calibri" w:cs="Calibri"/>
            <w:color w:val="0000FF"/>
          </w:rPr>
          <w:t>043</w:t>
        </w:r>
      </w:hyperlink>
      <w:r>
        <w:rPr>
          <w:rFonts w:ascii="Calibri" w:hAnsi="Calibri" w:cs="Calibri"/>
        </w:rPr>
        <w:t xml:space="preserve"> раздела 1Б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05" w:history="1">
        <w:r>
          <w:rPr>
            <w:rFonts w:ascii="Calibri" w:hAnsi="Calibri" w:cs="Calibri"/>
            <w:color w:val="0000FF"/>
          </w:rPr>
          <w:t>пункту 5.5</w:t>
        </w:r>
      </w:hyperlink>
      <w:r>
        <w:rPr>
          <w:rFonts w:ascii="Calibri" w:hAnsi="Calibri" w:cs="Calibri"/>
        </w:rPr>
        <w:t xml:space="preserve"> Порядка в </w:t>
      </w:r>
      <w:hyperlink r:id="rId106" w:history="1">
        <w:r>
          <w:rPr>
            <w:rFonts w:ascii="Calibri" w:hAnsi="Calibri" w:cs="Calibri"/>
            <w:color w:val="0000FF"/>
          </w:rPr>
          <w:t>пункте 040</w:t>
        </w:r>
      </w:hyperlink>
      <w:r>
        <w:rPr>
          <w:rFonts w:ascii="Calibri" w:hAnsi="Calibri" w:cs="Calibri"/>
        </w:rPr>
        <w:t xml:space="preserve"> "Код предмета сделки (код по </w:t>
      </w:r>
      <w:hyperlink r:id="rId107" w:history="1">
        <w:r>
          <w:rPr>
            <w:rFonts w:ascii="Calibri" w:hAnsi="Calibri" w:cs="Calibri"/>
            <w:color w:val="0000FF"/>
          </w:rPr>
          <w:t>ТН ВЭД</w:t>
        </w:r>
      </w:hyperlink>
      <w:r>
        <w:rPr>
          <w:rFonts w:ascii="Calibri" w:hAnsi="Calibri" w:cs="Calibri"/>
        </w:rPr>
        <w:t>)" при совершении внешнеторговых сделок указывается код вида товара в соответствии с единой Товарной номенклатурой внешнеэкономической деятельности Таможенного союза.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08" w:history="1">
        <w:r>
          <w:rPr>
            <w:rFonts w:ascii="Calibri" w:hAnsi="Calibri" w:cs="Calibri"/>
            <w:color w:val="0000FF"/>
          </w:rPr>
          <w:t>пункту 5.6</w:t>
        </w:r>
      </w:hyperlink>
      <w:r>
        <w:rPr>
          <w:rFonts w:ascii="Calibri" w:hAnsi="Calibri" w:cs="Calibri"/>
        </w:rPr>
        <w:t xml:space="preserve"> Порядка в </w:t>
      </w:r>
      <w:hyperlink r:id="rId109" w:history="1">
        <w:r>
          <w:rPr>
            <w:rFonts w:ascii="Calibri" w:hAnsi="Calibri" w:cs="Calibri"/>
            <w:color w:val="0000FF"/>
          </w:rPr>
          <w:t>пункте 043</w:t>
        </w:r>
      </w:hyperlink>
      <w:r>
        <w:rPr>
          <w:rFonts w:ascii="Calibri" w:hAnsi="Calibri" w:cs="Calibri"/>
        </w:rPr>
        <w:t xml:space="preserve"> "Код предмета сделки (код по </w:t>
      </w:r>
      <w:hyperlink r:id="rId110" w:history="1">
        <w:r>
          <w:rPr>
            <w:rFonts w:ascii="Calibri" w:hAnsi="Calibri" w:cs="Calibri"/>
            <w:color w:val="0000FF"/>
          </w:rPr>
          <w:t>ОКП</w:t>
        </w:r>
      </w:hyperlink>
      <w:r>
        <w:rPr>
          <w:rFonts w:ascii="Calibri" w:hAnsi="Calibri" w:cs="Calibri"/>
        </w:rPr>
        <w:t>)" при совершении сделок, не являющихся внешнеторговыми, указывается код вида товара в соответствии с Общероссийским классификатором продукции.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невозможно найти код товара среди классификаторов </w:t>
      </w:r>
      <w:hyperlink r:id="rId111" w:history="1">
        <w:r>
          <w:rPr>
            <w:rFonts w:ascii="Calibri" w:hAnsi="Calibri" w:cs="Calibri"/>
            <w:color w:val="0000FF"/>
          </w:rPr>
          <w:t>ТНВЭД</w:t>
        </w:r>
      </w:hyperlink>
      <w:r>
        <w:rPr>
          <w:rFonts w:ascii="Calibri" w:hAnsi="Calibri" w:cs="Calibri"/>
        </w:rPr>
        <w:t xml:space="preserve"> или </w:t>
      </w:r>
      <w:hyperlink r:id="rId112" w:history="1">
        <w:r>
          <w:rPr>
            <w:rFonts w:ascii="Calibri" w:hAnsi="Calibri" w:cs="Calibri"/>
            <w:color w:val="0000FF"/>
          </w:rPr>
          <w:t>ОКП</w:t>
        </w:r>
      </w:hyperlink>
      <w:r>
        <w:rPr>
          <w:rFonts w:ascii="Calibri" w:hAnsi="Calibri" w:cs="Calibri"/>
        </w:rPr>
        <w:t xml:space="preserve">, объективно отражающий его (товара) характеристики, то допустимо указывать в </w:t>
      </w:r>
      <w:hyperlink r:id="rId113" w:history="1">
        <w:r>
          <w:rPr>
            <w:rFonts w:ascii="Calibri" w:hAnsi="Calibri" w:cs="Calibri"/>
            <w:color w:val="0000FF"/>
          </w:rPr>
          <w:t>пункте 020</w:t>
        </w:r>
      </w:hyperlink>
      <w:r>
        <w:rPr>
          <w:rFonts w:ascii="Calibri" w:hAnsi="Calibri" w:cs="Calibri"/>
        </w:rPr>
        <w:t xml:space="preserve"> "Тип предмета сделки" раздела 1Б код "3", который означает "Иной объект гражданских прав".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Следует отметить, что в соответствии с требованиями Формата уведомления о контролируемых сделках в электронной форме (далее - Формат, </w:t>
      </w:r>
      <w:hyperlink r:id="rId114" w:history="1">
        <w:r>
          <w:rPr>
            <w:rFonts w:ascii="Calibri" w:hAnsi="Calibri" w:cs="Calibri"/>
            <w:color w:val="0000FF"/>
          </w:rPr>
          <w:t>Приложение N 2</w:t>
        </w:r>
      </w:hyperlink>
      <w:r>
        <w:rPr>
          <w:rFonts w:ascii="Calibri" w:hAnsi="Calibri" w:cs="Calibri"/>
        </w:rPr>
        <w:t xml:space="preserve"> к приказу ФНС России от 27.07.2012 N ММВ-7-13/524@), </w:t>
      </w:r>
      <w:hyperlink r:id="rId115" w:history="1">
        <w:r>
          <w:rPr>
            <w:rFonts w:ascii="Calibri" w:hAnsi="Calibri" w:cs="Calibri"/>
            <w:color w:val="0000FF"/>
          </w:rPr>
          <w:t>пункт 045</w:t>
        </w:r>
      </w:hyperlink>
      <w:r>
        <w:rPr>
          <w:rFonts w:ascii="Calibri" w:hAnsi="Calibri" w:cs="Calibri"/>
        </w:rPr>
        <w:t xml:space="preserve"> "Код предмета сделки (код по </w:t>
      </w:r>
      <w:hyperlink r:id="rId116" w:history="1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)" раздела 1Б (типовой элемент &lt;ОКВЭДТип&gt; </w:t>
      </w:r>
      <w:hyperlink r:id="rId117" w:history="1">
        <w:r>
          <w:rPr>
            <w:rFonts w:ascii="Calibri" w:hAnsi="Calibri" w:cs="Calibri"/>
            <w:color w:val="0000FF"/>
          </w:rPr>
          <w:t>Таблица 4.19</w:t>
        </w:r>
      </w:hyperlink>
      <w:r>
        <w:rPr>
          <w:rFonts w:ascii="Calibri" w:hAnsi="Calibri" w:cs="Calibri"/>
        </w:rPr>
        <w:t xml:space="preserve"> Формата) должен быть заполнен, если </w:t>
      </w:r>
      <w:hyperlink r:id="rId118" w:history="1">
        <w:r>
          <w:rPr>
            <w:rFonts w:ascii="Calibri" w:hAnsi="Calibri" w:cs="Calibri"/>
            <w:color w:val="0000FF"/>
          </w:rPr>
          <w:t>пункт 020</w:t>
        </w:r>
      </w:hyperlink>
      <w:r>
        <w:rPr>
          <w:rFonts w:ascii="Calibri" w:hAnsi="Calibri" w:cs="Calibri"/>
        </w:rPr>
        <w:t xml:space="preserve"> "Тип предмета сделки" раздела 1Б равен "2" (работа, услуга</w:t>
      </w:r>
      <w:proofErr w:type="gramEnd"/>
      <w:r>
        <w:rPr>
          <w:rFonts w:ascii="Calibri" w:hAnsi="Calibri" w:cs="Calibri"/>
        </w:rPr>
        <w:t>) или "3" (иной объект гражданских прав).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например, если налогоплательщиком совершена контролируемая сделка по реализации земельного участка, то соответствующий код </w:t>
      </w:r>
      <w:hyperlink r:id="rId119" w:history="1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 может быть выбран из подраздела КА "Операции с недвижимым имуществом, аренда и предоставление услуг". Например, код 70.12.3 "Покупка и продажа земельных участков".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08"/>
      <w:bookmarkEnd w:id="11"/>
      <w:r>
        <w:rPr>
          <w:rFonts w:ascii="Calibri" w:hAnsi="Calibri" w:cs="Calibri"/>
        </w:rPr>
        <w:t xml:space="preserve">8. О заполнении </w:t>
      </w:r>
      <w:hyperlink r:id="rId120" w:history="1">
        <w:r>
          <w:rPr>
            <w:rFonts w:ascii="Calibri" w:hAnsi="Calibri" w:cs="Calibri"/>
            <w:color w:val="0000FF"/>
          </w:rPr>
          <w:t>пункта 070</w:t>
        </w:r>
      </w:hyperlink>
      <w:r>
        <w:rPr>
          <w:rFonts w:ascii="Calibri" w:hAnsi="Calibri" w:cs="Calibri"/>
        </w:rPr>
        <w:t xml:space="preserve"> раздела 1Б Уведомления.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21" w:history="1">
        <w:r>
          <w:rPr>
            <w:rFonts w:ascii="Calibri" w:hAnsi="Calibri" w:cs="Calibri"/>
            <w:color w:val="0000FF"/>
          </w:rPr>
          <w:t>пункту 5.11</w:t>
        </w:r>
      </w:hyperlink>
      <w:r>
        <w:rPr>
          <w:rFonts w:ascii="Calibri" w:hAnsi="Calibri" w:cs="Calibri"/>
        </w:rPr>
        <w:t xml:space="preserve"> Порядка в </w:t>
      </w:r>
      <w:hyperlink r:id="rId122" w:history="1">
        <w:r>
          <w:rPr>
            <w:rFonts w:ascii="Calibri" w:hAnsi="Calibri" w:cs="Calibri"/>
            <w:color w:val="0000FF"/>
          </w:rPr>
          <w:t>пункте 070</w:t>
        </w:r>
      </w:hyperlink>
      <w:r>
        <w:rPr>
          <w:rFonts w:ascii="Calibri" w:hAnsi="Calibri" w:cs="Calibri"/>
        </w:rPr>
        <w:t xml:space="preserve"> "Код страны происхождения предмета сделки по классификатору ОКСМ (цифровой)" указывается код страны происхождения товара согласно Общероссийскому </w:t>
      </w:r>
      <w:hyperlink r:id="rId123" w:history="1">
        <w:r>
          <w:rPr>
            <w:rFonts w:ascii="Calibri" w:hAnsi="Calibri" w:cs="Calibri"/>
            <w:color w:val="0000FF"/>
          </w:rPr>
          <w:t>классификатору</w:t>
        </w:r>
      </w:hyperlink>
      <w:r>
        <w:rPr>
          <w:rFonts w:ascii="Calibri" w:hAnsi="Calibri" w:cs="Calibri"/>
        </w:rPr>
        <w:t xml:space="preserve"> стран мира </w:t>
      </w:r>
      <w:proofErr w:type="gramStart"/>
      <w:r>
        <w:rPr>
          <w:rFonts w:ascii="Calibri" w:hAnsi="Calibri" w:cs="Calibri"/>
        </w:rPr>
        <w:t>ОК</w:t>
      </w:r>
      <w:proofErr w:type="gramEnd"/>
      <w:r>
        <w:rPr>
          <w:rFonts w:ascii="Calibri" w:hAnsi="Calibri" w:cs="Calibri"/>
        </w:rPr>
        <w:t xml:space="preserve"> 025-2001 (ОКСМ) либо страны происхождения иного объекта гражданских прав, если для данного объекта гражданских прав ее можно определить. В случае если предметом сделки являются работы или услуги, то данное поле не заполняется.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Следует отметить, что Европейский союз является наднациональным образованием, состоящим из отдельных государств. Поэтому в случае если товар произведен на территории Европейского союза, то в </w:t>
      </w:r>
      <w:hyperlink r:id="rId124" w:history="1">
        <w:r>
          <w:rPr>
            <w:rFonts w:ascii="Calibri" w:hAnsi="Calibri" w:cs="Calibri"/>
            <w:color w:val="0000FF"/>
          </w:rPr>
          <w:t>пункте 070</w:t>
        </w:r>
      </w:hyperlink>
      <w:r>
        <w:rPr>
          <w:rFonts w:ascii="Calibri" w:hAnsi="Calibri" w:cs="Calibri"/>
        </w:rPr>
        <w:t xml:space="preserve"> раздела 1Б необходимо указать конкретное государство - члена Европейского союза, откуда фактически происходит товар.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12"/>
      <w:bookmarkEnd w:id="12"/>
      <w:r>
        <w:rPr>
          <w:rFonts w:ascii="Calibri" w:hAnsi="Calibri" w:cs="Calibri"/>
        </w:rPr>
        <w:lastRenderedPageBreak/>
        <w:t>9. Об указании порядкового номера участника контролируемой сделки в Уведомлении.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25" w:history="1">
        <w:r>
          <w:rPr>
            <w:rFonts w:ascii="Calibri" w:hAnsi="Calibri" w:cs="Calibri"/>
            <w:color w:val="0000FF"/>
          </w:rPr>
          <w:t>пункту 4.17</w:t>
        </w:r>
      </w:hyperlink>
      <w:r>
        <w:rPr>
          <w:rFonts w:ascii="Calibri" w:hAnsi="Calibri" w:cs="Calibri"/>
        </w:rPr>
        <w:t xml:space="preserve"> Порядка в </w:t>
      </w:r>
      <w:hyperlink r:id="rId126" w:history="1">
        <w:r>
          <w:rPr>
            <w:rFonts w:ascii="Calibri" w:hAnsi="Calibri" w:cs="Calibri"/>
            <w:color w:val="0000FF"/>
          </w:rPr>
          <w:t>пункте 260</w:t>
        </w:r>
      </w:hyperlink>
      <w:r>
        <w:rPr>
          <w:rFonts w:ascii="Calibri" w:hAnsi="Calibri" w:cs="Calibri"/>
        </w:rPr>
        <w:t xml:space="preserve"> Уведомления отражается общее количество участников контролируемой сделки.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127" w:history="1">
        <w:r>
          <w:rPr>
            <w:rFonts w:ascii="Calibri" w:hAnsi="Calibri" w:cs="Calibri"/>
            <w:color w:val="0000FF"/>
          </w:rPr>
          <w:t>пунктом 5.8</w:t>
        </w:r>
      </w:hyperlink>
      <w:r>
        <w:rPr>
          <w:rFonts w:ascii="Calibri" w:hAnsi="Calibri" w:cs="Calibri"/>
        </w:rPr>
        <w:t xml:space="preserve"> Порядка в </w:t>
      </w:r>
      <w:hyperlink r:id="rId128" w:history="1">
        <w:r>
          <w:rPr>
            <w:rFonts w:ascii="Calibri" w:hAnsi="Calibri" w:cs="Calibri"/>
            <w:color w:val="0000FF"/>
          </w:rPr>
          <w:t>пункте 050</w:t>
        </w:r>
      </w:hyperlink>
      <w:r>
        <w:rPr>
          <w:rFonts w:ascii="Calibri" w:hAnsi="Calibri" w:cs="Calibri"/>
        </w:rPr>
        <w:t xml:space="preserve"> "Номер другого участника сделки" указывается порядковый номер контрагента, присвоенный налогоплательщиком, который указан по </w:t>
      </w:r>
      <w:hyperlink r:id="rId129" w:history="1">
        <w:r>
          <w:rPr>
            <w:rFonts w:ascii="Calibri" w:hAnsi="Calibri" w:cs="Calibri"/>
            <w:color w:val="0000FF"/>
          </w:rPr>
          <w:t>строке 015</w:t>
        </w:r>
      </w:hyperlink>
      <w:r>
        <w:rPr>
          <w:rFonts w:ascii="Calibri" w:hAnsi="Calibri" w:cs="Calibri"/>
        </w:rPr>
        <w:t xml:space="preserve"> раздела 2 (для контрагентов-организаций) или по </w:t>
      </w:r>
      <w:hyperlink r:id="rId130" w:history="1">
        <w:r>
          <w:rPr>
            <w:rFonts w:ascii="Calibri" w:hAnsi="Calibri" w:cs="Calibri"/>
            <w:color w:val="0000FF"/>
          </w:rPr>
          <w:t>строке 015</w:t>
        </w:r>
      </w:hyperlink>
      <w:r>
        <w:rPr>
          <w:rFonts w:ascii="Calibri" w:hAnsi="Calibri" w:cs="Calibri"/>
        </w:rPr>
        <w:t xml:space="preserve"> раздела 3 (для контрагентов - физических лиц).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31" w:history="1">
        <w:r>
          <w:rPr>
            <w:rFonts w:ascii="Calibri" w:hAnsi="Calibri" w:cs="Calibri"/>
            <w:color w:val="0000FF"/>
          </w:rPr>
          <w:t>пунктам 6.2</w:t>
        </w:r>
      </w:hyperlink>
      <w:r>
        <w:rPr>
          <w:rFonts w:ascii="Calibri" w:hAnsi="Calibri" w:cs="Calibri"/>
        </w:rPr>
        <w:t xml:space="preserve"> и </w:t>
      </w:r>
      <w:hyperlink r:id="rId132" w:history="1">
        <w:r>
          <w:rPr>
            <w:rFonts w:ascii="Calibri" w:hAnsi="Calibri" w:cs="Calibri"/>
            <w:color w:val="0000FF"/>
          </w:rPr>
          <w:t>7.2</w:t>
        </w:r>
      </w:hyperlink>
      <w:r>
        <w:rPr>
          <w:rFonts w:ascii="Calibri" w:hAnsi="Calibri" w:cs="Calibri"/>
        </w:rPr>
        <w:t xml:space="preserve"> Порядка в пункте 015 </w:t>
      </w:r>
      <w:hyperlink r:id="rId133" w:history="1">
        <w:r>
          <w:rPr>
            <w:rFonts w:ascii="Calibri" w:hAnsi="Calibri" w:cs="Calibri"/>
            <w:color w:val="0000FF"/>
          </w:rPr>
          <w:t>раздела 2</w:t>
        </w:r>
      </w:hyperlink>
      <w:r>
        <w:rPr>
          <w:rFonts w:ascii="Calibri" w:hAnsi="Calibri" w:cs="Calibri"/>
        </w:rPr>
        <w:t xml:space="preserve"> и </w:t>
      </w:r>
      <w:hyperlink r:id="rId134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отражается порядковый номер участника контролируемой сделки по Уведомлению, указанный по </w:t>
      </w:r>
      <w:hyperlink r:id="rId135" w:history="1">
        <w:r>
          <w:rPr>
            <w:rFonts w:ascii="Calibri" w:hAnsi="Calibri" w:cs="Calibri"/>
            <w:color w:val="0000FF"/>
          </w:rPr>
          <w:t>строке 050</w:t>
        </w:r>
      </w:hyperlink>
      <w:r>
        <w:rPr>
          <w:rFonts w:ascii="Calibri" w:hAnsi="Calibri" w:cs="Calibri"/>
        </w:rPr>
        <w:t xml:space="preserve"> Раздела 1Б.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Принимая во внимание положения </w:t>
      </w:r>
      <w:hyperlink r:id="rId136" w:history="1">
        <w:r>
          <w:rPr>
            <w:rFonts w:ascii="Calibri" w:hAnsi="Calibri" w:cs="Calibri"/>
            <w:color w:val="0000FF"/>
          </w:rPr>
          <w:t>пунктов 6.1</w:t>
        </w:r>
      </w:hyperlink>
      <w:r>
        <w:rPr>
          <w:rFonts w:ascii="Calibri" w:hAnsi="Calibri" w:cs="Calibri"/>
        </w:rPr>
        <w:t xml:space="preserve"> и </w:t>
      </w:r>
      <w:hyperlink r:id="rId137" w:history="1">
        <w:r>
          <w:rPr>
            <w:rFonts w:ascii="Calibri" w:hAnsi="Calibri" w:cs="Calibri"/>
            <w:color w:val="0000FF"/>
          </w:rPr>
          <w:t>7.1</w:t>
        </w:r>
      </w:hyperlink>
      <w:r>
        <w:rPr>
          <w:rFonts w:ascii="Calibri" w:hAnsi="Calibri" w:cs="Calibri"/>
        </w:rPr>
        <w:t xml:space="preserve"> Порядка, согласно которым в пунктах 010 </w:t>
      </w:r>
      <w:hyperlink r:id="rId138" w:history="1">
        <w:r>
          <w:rPr>
            <w:rFonts w:ascii="Calibri" w:hAnsi="Calibri" w:cs="Calibri"/>
            <w:color w:val="0000FF"/>
          </w:rPr>
          <w:t>разделов 2</w:t>
        </w:r>
      </w:hyperlink>
      <w:r>
        <w:rPr>
          <w:rFonts w:ascii="Calibri" w:hAnsi="Calibri" w:cs="Calibri"/>
        </w:rPr>
        <w:t xml:space="preserve"> и </w:t>
      </w:r>
      <w:hyperlink r:id="rId139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Уведомления указывается порядковый номер контролируемой сделки, присвоенный налогоплательщиком, и который должен соответствовать </w:t>
      </w:r>
      <w:hyperlink r:id="rId140" w:history="1">
        <w:r>
          <w:rPr>
            <w:rFonts w:ascii="Calibri" w:hAnsi="Calibri" w:cs="Calibri"/>
            <w:color w:val="0000FF"/>
          </w:rPr>
          <w:t>строке 010</w:t>
        </w:r>
      </w:hyperlink>
      <w:r>
        <w:rPr>
          <w:rFonts w:ascii="Calibri" w:hAnsi="Calibri" w:cs="Calibri"/>
        </w:rPr>
        <w:t xml:space="preserve"> раздела 1А, что позволяет однозначно идентифицировать контрагента с порядковым номером контролируемой сделки, Управление допускает использование сквозной нумерации </w:t>
      </w:r>
      <w:proofErr w:type="gramStart"/>
      <w:r>
        <w:rPr>
          <w:rFonts w:ascii="Calibri" w:hAnsi="Calibri" w:cs="Calibri"/>
        </w:rPr>
        <w:t>контрагентов</w:t>
      </w:r>
      <w:proofErr w:type="gramEnd"/>
      <w:r>
        <w:rPr>
          <w:rFonts w:ascii="Calibri" w:hAnsi="Calibri" w:cs="Calibri"/>
        </w:rPr>
        <w:t xml:space="preserve"> как в рамках всего Уведомления, так и в рамках </w:t>
      </w:r>
      <w:hyperlink r:id="rId141" w:history="1">
        <w:r>
          <w:rPr>
            <w:rFonts w:ascii="Calibri" w:hAnsi="Calibri" w:cs="Calibri"/>
            <w:color w:val="0000FF"/>
          </w:rPr>
          <w:t>раздела 1А</w:t>
        </w:r>
      </w:hyperlink>
      <w:r>
        <w:rPr>
          <w:rFonts w:ascii="Calibri" w:hAnsi="Calibri" w:cs="Calibri"/>
        </w:rPr>
        <w:t xml:space="preserve"> (то есть конкретной сделки или группы однородных сделок).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следует отметить, что порядковый номер сделки в </w:t>
      </w:r>
      <w:hyperlink r:id="rId142" w:history="1">
        <w:r>
          <w:rPr>
            <w:rFonts w:ascii="Calibri" w:hAnsi="Calibri" w:cs="Calibri"/>
            <w:color w:val="0000FF"/>
          </w:rPr>
          <w:t>строке 010</w:t>
        </w:r>
      </w:hyperlink>
      <w:r>
        <w:rPr>
          <w:rFonts w:ascii="Calibri" w:hAnsi="Calibri" w:cs="Calibri"/>
        </w:rPr>
        <w:t xml:space="preserve"> раздела 1А Уведомления не должен повторяться.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19"/>
      <w:bookmarkEnd w:id="13"/>
      <w:r>
        <w:rPr>
          <w:rFonts w:ascii="Calibri" w:hAnsi="Calibri" w:cs="Calibri"/>
        </w:rPr>
        <w:t>10. О представлении Уведомления при ликвидации организации.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143" w:history="1">
        <w:r>
          <w:rPr>
            <w:rFonts w:ascii="Calibri" w:hAnsi="Calibri" w:cs="Calibri"/>
            <w:color w:val="0000FF"/>
          </w:rPr>
          <w:t>пункту 1 статьи 105.16</w:t>
        </w:r>
      </w:hyperlink>
      <w:r>
        <w:rPr>
          <w:rFonts w:ascii="Calibri" w:hAnsi="Calibri" w:cs="Calibri"/>
        </w:rPr>
        <w:t xml:space="preserve"> Кодекса налогоплательщики обязаны уведомлять налоговые органы о совершенных ими в календарном году контролируемых сделках. При этом срок установлен не позднее 20 мая года, следующего за календарным годом, в котором совершены контролируемые сделки.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Положения Кодекса не регламентирует исполнение обязанности по уведомлению налоговых органов в случае ликвидации организации.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положениям </w:t>
      </w:r>
      <w:hyperlink r:id="rId144" w:history="1">
        <w:r>
          <w:rPr>
            <w:rFonts w:ascii="Calibri" w:hAnsi="Calibri" w:cs="Calibri"/>
            <w:color w:val="0000FF"/>
          </w:rPr>
          <w:t>статей 9</w:t>
        </w:r>
      </w:hyperlink>
      <w:r>
        <w:rPr>
          <w:rFonts w:ascii="Calibri" w:hAnsi="Calibri" w:cs="Calibri"/>
        </w:rPr>
        <w:t xml:space="preserve"> и </w:t>
      </w:r>
      <w:hyperlink r:id="rId145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 Федерального закона от 08.08.2001 N 129-ФЗ "О государственной регистрации юридических лиц и индивидуальных предпринимателей" налоговые органы не вправе отказать в ликвидации, если организация не сдала Уведомление. При совершении регистрирующих действий налоговый орган не вправе требовать представление других документов кроме документов, установленных указанным федеральным </w:t>
      </w:r>
      <w:hyperlink r:id="rId14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Вместе с тем, ФНС России рекомендует ликвидируемым организациям представлять в налоговый орган по месту его нахождения (по месту учета в качестве крупнейшего налогоплательщика) уведомление о контролируемых сделках, совершенным в отчетном периоде, вне зависимости от того, завершен отчетный период или нет, вместе с ликвидационным балансом, то есть на дату, предшествующую дате внесения в ЕГРЮЛ записи о ликвидации юридического лица.</w:t>
      </w:r>
      <w:proofErr w:type="gramEnd"/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Прошу довести настоящее письмо до сведения подведомственных налоговых органов и налогоплательщиков.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класса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А.Л.ОВЕРЧУК</w:t>
      </w: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B384B" w:rsidRDefault="000B384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84903" w:rsidRDefault="00484903">
      <w:bookmarkStart w:id="14" w:name="_GoBack"/>
      <w:bookmarkEnd w:id="14"/>
    </w:p>
    <w:sectPr w:rsidR="00484903" w:rsidSect="0082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4B"/>
    <w:rsid w:val="000B384B"/>
    <w:rsid w:val="00484903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12F516C979C45145B5884A11791E2E17A31D4AF6BC9C5F9B433F412568C7C0E5093E7CE8B7E1BAFi7V2I" TargetMode="External"/><Relationship Id="rId117" Type="http://schemas.openxmlformats.org/officeDocument/2006/relationships/hyperlink" Target="consultantplus://offline/ref=012F516C979C45145B5884A11791E2E17A31D4AF6BC9C5F9B433F412568C7C0E5093E7CE8B7E1EADi7VFI" TargetMode="External"/><Relationship Id="rId21" Type="http://schemas.openxmlformats.org/officeDocument/2006/relationships/hyperlink" Target="consultantplus://offline/ref=012F516C979C45145B5884A11791E2E17A31D4AF6BC9C5F9B433F412568C7C0E5093E7CE8B7E1BAEi7V9I" TargetMode="External"/><Relationship Id="rId42" Type="http://schemas.openxmlformats.org/officeDocument/2006/relationships/hyperlink" Target="consultantplus://offline/ref=012F516C979C45145B5884A11791E2E17A31D4AF6BC9C5F9B433F412568C7C0E5093E7CE8B7E1BA3i7VAI" TargetMode="External"/><Relationship Id="rId47" Type="http://schemas.openxmlformats.org/officeDocument/2006/relationships/hyperlink" Target="consultantplus://offline/ref=012F516C979C45145B5884A11791E2E17A31D4AF6BC9C5F9B433F412568C7C0E5093E7CE8B7E1BA2i7V2I" TargetMode="External"/><Relationship Id="rId63" Type="http://schemas.openxmlformats.org/officeDocument/2006/relationships/hyperlink" Target="consultantplus://offline/ref=012F516C979C45145B5884A11791E2E17A31D4AF6BC9C5F9B433F412568C7C0E5093E7CE8B7E1BAEi7VDI" TargetMode="External"/><Relationship Id="rId68" Type="http://schemas.openxmlformats.org/officeDocument/2006/relationships/hyperlink" Target="consultantplus://offline/ref=012F516C979C45145B5884A11791E2E17A31D4AF6BC9C5F9B433F412568C7C0E5093E7CE8B7E1DA9i7VAI" TargetMode="External"/><Relationship Id="rId84" Type="http://schemas.openxmlformats.org/officeDocument/2006/relationships/hyperlink" Target="consultantplus://offline/ref=012F516C979C45145B5884A11791E2E17A37D6A967CDC5F9B433F412568C7C0E5093E7CE8B7C18ACi7V8I" TargetMode="External"/><Relationship Id="rId89" Type="http://schemas.openxmlformats.org/officeDocument/2006/relationships/hyperlink" Target="consultantplus://offline/ref=012F516C979C45145B5884A11791E2E17A31D4AF6BC9C5F9B433F412568C7C0E5093E7CE8B7E1BA3i7V2I" TargetMode="External"/><Relationship Id="rId112" Type="http://schemas.openxmlformats.org/officeDocument/2006/relationships/hyperlink" Target="consultantplus://offline/ref=012F516C979C45145B5884A11791E2E17A37D7AB64C5C5F9B433F41256i8VCI" TargetMode="External"/><Relationship Id="rId133" Type="http://schemas.openxmlformats.org/officeDocument/2006/relationships/hyperlink" Target="consultantplus://offline/ref=012F516C979C45145B5884A11791E2E17A31D4AF6BC9C5F9B433F412568C7C0E5093E7CE8B7E18AAi7VAI" TargetMode="External"/><Relationship Id="rId138" Type="http://schemas.openxmlformats.org/officeDocument/2006/relationships/hyperlink" Target="consultantplus://offline/ref=012F516C979C45145B5884A11791E2E17A31D4AF6BC9C5F9B433F412568C7C0E5093E7CE8B7E18AAi7VBI" TargetMode="External"/><Relationship Id="rId16" Type="http://schemas.openxmlformats.org/officeDocument/2006/relationships/hyperlink" Target="consultantplus://offline/ref=012F516C979C45145B5884A11791E2E17A31D4AF6BC9C5F9B433F412568C7C0E5093E7CE8B7E1DA3i7V3I" TargetMode="External"/><Relationship Id="rId107" Type="http://schemas.openxmlformats.org/officeDocument/2006/relationships/hyperlink" Target="consultantplus://offline/ref=012F516C979C45145B5884A11791E2E17A34D4A866CBC5F9B433F412568C7C0E5093E7CE8B7E1AABi7V8I" TargetMode="External"/><Relationship Id="rId11" Type="http://schemas.openxmlformats.org/officeDocument/2006/relationships/hyperlink" Target="consultantplus://offline/ref=012F516C979C45145B5884A11791E2E17A37D5AF60CCC5F9B433F41256i8VCI" TargetMode="External"/><Relationship Id="rId32" Type="http://schemas.openxmlformats.org/officeDocument/2006/relationships/hyperlink" Target="consultantplus://offline/ref=012F516C979C45145B5884A11791E2E17A30D8AB61CAC5F9B433F412568C7C0E5093E7CE8B7E1AABi7V8I" TargetMode="External"/><Relationship Id="rId37" Type="http://schemas.openxmlformats.org/officeDocument/2006/relationships/hyperlink" Target="consultantplus://offline/ref=012F516C979C45145B5884A11791E2E17A37D7AD63C9C5F9B433F41256i8VCI" TargetMode="External"/><Relationship Id="rId53" Type="http://schemas.openxmlformats.org/officeDocument/2006/relationships/hyperlink" Target="consultantplus://offline/ref=012F516C979C45145B5884A11791E2E17A37D7AA65CBC5F9B433F412568C7C0E5093E7CE8B761AADi7V9I" TargetMode="External"/><Relationship Id="rId58" Type="http://schemas.openxmlformats.org/officeDocument/2006/relationships/hyperlink" Target="consultantplus://offline/ref=012F516C979C45145B5884A11791E2E17A31D4AF6BC9C5F9B433F412568C7C0E5093E7CE8B7E1DA8i7VFI" TargetMode="External"/><Relationship Id="rId74" Type="http://schemas.openxmlformats.org/officeDocument/2006/relationships/hyperlink" Target="consultantplus://offline/ref=012F516C979C45145B5884A11791E2E17A31D4AF6BC9C5F9B433F412568C7C0E5093E7CE8B7E1BAFi7VDI" TargetMode="External"/><Relationship Id="rId79" Type="http://schemas.openxmlformats.org/officeDocument/2006/relationships/hyperlink" Target="consultantplus://offline/ref=012F516C979C45145B5884A11791E2E17A37D6A967CDC5F9B433F412568C7C0E5093E7CE8B7C18ACi7VEI" TargetMode="External"/><Relationship Id="rId102" Type="http://schemas.openxmlformats.org/officeDocument/2006/relationships/hyperlink" Target="consultantplus://offline/ref=012F516C979C45145B5884A11791E2E17A36D9A162CDC5F9B433F41256i8VCI" TargetMode="External"/><Relationship Id="rId123" Type="http://schemas.openxmlformats.org/officeDocument/2006/relationships/hyperlink" Target="consultantplus://offline/ref=012F516C979C45145B5884A11791E2E17A37D7AB6BC9C5F9B433F412568C7C0E5093E7CE8B7E1AABi7VBI" TargetMode="External"/><Relationship Id="rId128" Type="http://schemas.openxmlformats.org/officeDocument/2006/relationships/hyperlink" Target="consultantplus://offline/ref=012F516C979C45145B5884A11791E2E17A31D4AF6BC9C5F9B433F412568C7C0E5093E7CE8B7E1BACi7V3I" TargetMode="External"/><Relationship Id="rId144" Type="http://schemas.openxmlformats.org/officeDocument/2006/relationships/hyperlink" Target="consultantplus://offline/ref=012F516C979C45145B5884A11791E2E17A37D6A967CAC5F9B433F412568C7C0E5093E7CE8B7E1AACi7VFI" TargetMode="External"/><Relationship Id="rId5" Type="http://schemas.openxmlformats.org/officeDocument/2006/relationships/hyperlink" Target="consultantplus://offline/ref=012F516C979C45145B5884A11791E2E17A37D3A06AC4C5F9B433F41256i8VCI" TargetMode="External"/><Relationship Id="rId90" Type="http://schemas.openxmlformats.org/officeDocument/2006/relationships/hyperlink" Target="consultantplus://offline/ref=012F516C979C45145B5884A11791E2E17A31D4AF6BC9C5F9B433F412568C7C0E5093E7CE8B7E1BA3i7VAI" TargetMode="External"/><Relationship Id="rId95" Type="http://schemas.openxmlformats.org/officeDocument/2006/relationships/hyperlink" Target="consultantplus://offline/ref=012F516C979C45145B5884A11791E2E17A31D4AF6BC9C5F9B433F412568C7C0E5093E7CE8B7E1BA3i7VAI" TargetMode="External"/><Relationship Id="rId22" Type="http://schemas.openxmlformats.org/officeDocument/2006/relationships/hyperlink" Target="consultantplus://offline/ref=012F516C979C45145B5884A11791E2E17A31D4AF6BC9C5F9B433F412568C7C0E5093E7CE8B7E1DA8i7VCI" TargetMode="External"/><Relationship Id="rId27" Type="http://schemas.openxmlformats.org/officeDocument/2006/relationships/hyperlink" Target="consultantplus://offline/ref=012F516C979C45145B5884A11791E2E17A31D4AF6BC9C5F9B433F412568C7C0E5093E7CE8B7E1BACi7V9I" TargetMode="External"/><Relationship Id="rId43" Type="http://schemas.openxmlformats.org/officeDocument/2006/relationships/hyperlink" Target="consultantplus://offline/ref=012F516C979C45145B5884A11791E2E17A31D4AF6BC9C5F9B433F412568C7C0E5093E7CE8B7E1BA3i7VAI" TargetMode="External"/><Relationship Id="rId48" Type="http://schemas.openxmlformats.org/officeDocument/2006/relationships/hyperlink" Target="consultantplus://offline/ref=012F516C979C45145B5884A11791E2E17A31D4AF6BC9C5F9B433F412568C7C0E5093E7CE8B7E1BA3i7VAI" TargetMode="External"/><Relationship Id="rId64" Type="http://schemas.openxmlformats.org/officeDocument/2006/relationships/hyperlink" Target="consultantplus://offline/ref=012F516C979C45145B5884A11791E2E17A31D4AF6BC9C5F9B433F412568C7C0E5093E7CE8B7E1BAFi7V2I" TargetMode="External"/><Relationship Id="rId69" Type="http://schemas.openxmlformats.org/officeDocument/2006/relationships/hyperlink" Target="consultantplus://offline/ref=012F516C979C45145B5884A11791E2E17A31D4AF6BC9C5F9B433F412568C7C0E5093E7CE8B7E1BAFi7VDI" TargetMode="External"/><Relationship Id="rId113" Type="http://schemas.openxmlformats.org/officeDocument/2006/relationships/hyperlink" Target="consultantplus://offline/ref=012F516C979C45145B5884A11791E2E17A31D4AF6BC9C5F9B433F412568C7C0E5093E7CE8B7E1BAFi7V2I" TargetMode="External"/><Relationship Id="rId118" Type="http://schemas.openxmlformats.org/officeDocument/2006/relationships/hyperlink" Target="consultantplus://offline/ref=012F516C979C45145B5884A11791E2E17A31D4AF6BC9C5F9B433F412568C7C0E5093E7CE8B7E1BAFi7V2I" TargetMode="External"/><Relationship Id="rId134" Type="http://schemas.openxmlformats.org/officeDocument/2006/relationships/hyperlink" Target="consultantplus://offline/ref=012F516C979C45145B5884A11791E2E17A31D4AF6BC9C5F9B433F412568C7C0E5093E7CE8B7E18A9i7V9I" TargetMode="External"/><Relationship Id="rId139" Type="http://schemas.openxmlformats.org/officeDocument/2006/relationships/hyperlink" Target="consultantplus://offline/ref=012F516C979C45145B5884A11791E2E17A31D4AF6BC9C5F9B433F412568C7C0E5093E7CE8B7E18A9i7VAI" TargetMode="External"/><Relationship Id="rId80" Type="http://schemas.openxmlformats.org/officeDocument/2006/relationships/hyperlink" Target="consultantplus://offline/ref=012F516C979C45145B5884A11791E2E17A37D6A967CDC5F9B433F412568C7C0E5093E7CE8B7C18ADi7V3I" TargetMode="External"/><Relationship Id="rId85" Type="http://schemas.openxmlformats.org/officeDocument/2006/relationships/hyperlink" Target="consultantplus://offline/ref=012F516C979C45145B5884A11791E2E17A37D3A06AC4C5F9B433F412568C7C0E5093E7CE8B7E1BA3i7V3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12F516C979C45145B5884A11791E2E17A31D4AF6BC9C5F9B433F412568C7C0E5093E7CE8B7E1DAAi7VBI" TargetMode="External"/><Relationship Id="rId17" Type="http://schemas.openxmlformats.org/officeDocument/2006/relationships/hyperlink" Target="consultantplus://offline/ref=012F516C979C45145B5884A11791E2E17A31D4AF6BC9C5F9B433F412568C7C0E5093E7CE8B7E1DA3i7V3I" TargetMode="External"/><Relationship Id="rId25" Type="http://schemas.openxmlformats.org/officeDocument/2006/relationships/hyperlink" Target="consultantplus://offline/ref=012F516C979C45145B5884A11791E2E17A31D4AF6BC9C5F9B433F412568C7C0E5093E7CE8B7E1BAEi7VCI" TargetMode="External"/><Relationship Id="rId33" Type="http://schemas.openxmlformats.org/officeDocument/2006/relationships/hyperlink" Target="consultantplus://offline/ref=012F516C979C45145B5884A11791E2E17A36D3A967C5C5F9B433F41256i8VCI" TargetMode="External"/><Relationship Id="rId38" Type="http://schemas.openxmlformats.org/officeDocument/2006/relationships/hyperlink" Target="consultantplus://offline/ref=012F516C979C45145B5884A11791E2E17A37D7AD63C9C5F9B433F41256i8VCI" TargetMode="External"/><Relationship Id="rId46" Type="http://schemas.openxmlformats.org/officeDocument/2006/relationships/hyperlink" Target="consultantplus://offline/ref=012F516C979C45145B5884A11791E2E17A31D4AF6BC9C5F9B433F412568C7C0E5093E7CE8B7E1BA3i7VAI" TargetMode="External"/><Relationship Id="rId59" Type="http://schemas.openxmlformats.org/officeDocument/2006/relationships/hyperlink" Target="consultantplus://offline/ref=012F516C979C45145B5884A11791E2E17A31D4AF6BC9C5F9B433F412568C7C0E5093E7CE8B7E1BAEi7V9I" TargetMode="External"/><Relationship Id="rId67" Type="http://schemas.openxmlformats.org/officeDocument/2006/relationships/hyperlink" Target="consultantplus://offline/ref=012F516C979C45145B5884A11791E2E17A37D6A967CDC5F9B433F412568C7C0E5093E7CE8B7C1AAEi7V8I" TargetMode="External"/><Relationship Id="rId103" Type="http://schemas.openxmlformats.org/officeDocument/2006/relationships/hyperlink" Target="consultantplus://offline/ref=012F516C979C45145B5884A11791E2E17A31D4AF6BC9C5F9B433F412568C7C0E5093E7CE8B7E1BACi7V3I" TargetMode="External"/><Relationship Id="rId108" Type="http://schemas.openxmlformats.org/officeDocument/2006/relationships/hyperlink" Target="consultantplus://offline/ref=012F516C979C45145B5884A11791E2E17A31D4AF6BC9C5F9B433F412568C7C0E5093E7CE8B7E1DAEi7VAI" TargetMode="External"/><Relationship Id="rId116" Type="http://schemas.openxmlformats.org/officeDocument/2006/relationships/hyperlink" Target="consultantplus://offline/ref=012F516C979C45145B5884A11791E2E17A30D8AB61CAC5F9B433F412568C7C0E5093E7CE8B7E1AABi7V8I" TargetMode="External"/><Relationship Id="rId124" Type="http://schemas.openxmlformats.org/officeDocument/2006/relationships/hyperlink" Target="consultantplus://offline/ref=012F516C979C45145B5884A11791E2E17A31D4AF6BC9C5F9B433F412568C7C0E5093E7CE8B7E1BADi7VEI" TargetMode="External"/><Relationship Id="rId129" Type="http://schemas.openxmlformats.org/officeDocument/2006/relationships/hyperlink" Target="consultantplus://offline/ref=012F516C979C45145B5884A11791E2E17A31D4AF6BC9C5F9B433F412568C7C0E5093E7CE8B7E18AAi7VAI" TargetMode="External"/><Relationship Id="rId137" Type="http://schemas.openxmlformats.org/officeDocument/2006/relationships/hyperlink" Target="consultantplus://offline/ref=012F516C979C45145B5884A11791E2E17A31D4AF6BC9C5F9B433F412568C7C0E5093E7CE8B7E1DADi7V2I" TargetMode="External"/><Relationship Id="rId20" Type="http://schemas.openxmlformats.org/officeDocument/2006/relationships/hyperlink" Target="consultantplus://offline/ref=012F516C979C45145B5884A11791E2E17A31D4AF6BC9C5F9B433F412568C7C0E5093E7CE8B7E1DA8i7VFI" TargetMode="External"/><Relationship Id="rId41" Type="http://schemas.openxmlformats.org/officeDocument/2006/relationships/hyperlink" Target="consultantplus://offline/ref=012F516C979C45145B5884A11791E2E17A31D4AF6BC9C5F9B433F412568C7C0E5093E7CE8B7E1BA3i7VAI" TargetMode="External"/><Relationship Id="rId54" Type="http://schemas.openxmlformats.org/officeDocument/2006/relationships/hyperlink" Target="consultantplus://offline/ref=012F516C979C45145B5884A11791E2E17A31D4AF6BC9C5F9B433F412568C7C0E5093E7CE8B7E1BA3i7VAI" TargetMode="External"/><Relationship Id="rId62" Type="http://schemas.openxmlformats.org/officeDocument/2006/relationships/hyperlink" Target="consultantplus://offline/ref=012F516C979C45145B5884A11791E2E17A31D4AF6BC9C5F9B433F412568C7C0E5093E7CE8B7E1BAEi7V9I" TargetMode="External"/><Relationship Id="rId70" Type="http://schemas.openxmlformats.org/officeDocument/2006/relationships/hyperlink" Target="consultantplus://offline/ref=012F516C979C45145B5884A11791E2E17A31D4AF6BC9C5F9B433F412568C7C0E5093E7CE8B7E1BAFi7VDI" TargetMode="External"/><Relationship Id="rId75" Type="http://schemas.openxmlformats.org/officeDocument/2006/relationships/hyperlink" Target="consultantplus://offline/ref=012F516C979C45145B5884A11791E2E17A31D4AF6BC9C5F9B433F412568C7C0E5093E7CE8B7E1BAAi7V3I" TargetMode="External"/><Relationship Id="rId83" Type="http://schemas.openxmlformats.org/officeDocument/2006/relationships/hyperlink" Target="consultantplus://offline/ref=012F516C979C45145B5884A11791E2E17A37D6A967CDC5F9B433F412568C7C0E5093E7CE8B7C1BA3i7VBI" TargetMode="External"/><Relationship Id="rId88" Type="http://schemas.openxmlformats.org/officeDocument/2006/relationships/hyperlink" Target="consultantplus://offline/ref=012F516C979C45145B5884A11791E2E17A31D4AF6BC9C5F9B433F412568C7C0E5093E7CE8B7E1BACi7V2I" TargetMode="External"/><Relationship Id="rId91" Type="http://schemas.openxmlformats.org/officeDocument/2006/relationships/hyperlink" Target="consultantplus://offline/ref=012F516C979C45145B5884A11791E2E17A31D4AF6BC9C5F9B433F412568C7C0E5093E7CE8B7E1BA3i7VAI" TargetMode="External"/><Relationship Id="rId96" Type="http://schemas.openxmlformats.org/officeDocument/2006/relationships/hyperlink" Target="consultantplus://offline/ref=012F516C979C45145B5884A11791E2E17A31D4AF6BC9C5F9B433F412568C7C0E5093E7CE8B7E1BA3i7VAI" TargetMode="External"/><Relationship Id="rId111" Type="http://schemas.openxmlformats.org/officeDocument/2006/relationships/hyperlink" Target="consultantplus://offline/ref=012F516C979C45145B5884A11791E2E17A34D4A866CBC5F9B433F412568C7C0E5093E7CE8B7E1AABi7V8I" TargetMode="External"/><Relationship Id="rId132" Type="http://schemas.openxmlformats.org/officeDocument/2006/relationships/hyperlink" Target="consultantplus://offline/ref=012F516C979C45145B5884A11791E2E17A31D4AF6BC9C5F9B433F412568C7C0E5093E7CE8B7E1DA2i7VBI" TargetMode="External"/><Relationship Id="rId140" Type="http://schemas.openxmlformats.org/officeDocument/2006/relationships/hyperlink" Target="consultantplus://offline/ref=012F516C979C45145B5884A11791E2E17A31D4AF6BC9C5F9B433F412568C7C0E5093E7CE8B7E1BAAi7V2I" TargetMode="External"/><Relationship Id="rId145" Type="http://schemas.openxmlformats.org/officeDocument/2006/relationships/hyperlink" Target="consultantplus://offline/ref=012F516C979C45145B5884A11791E2E17A37D6A967CAC5F9B433F412568C7C0E5093E7CE8B7E1BAEi7V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2F516C979C45145B5884A11791E2E17A31D4AF6BC9C5F9B433F412568C7C0E5093E7CE8B7E1AA8i7VFI" TargetMode="External"/><Relationship Id="rId15" Type="http://schemas.openxmlformats.org/officeDocument/2006/relationships/hyperlink" Target="consultantplus://offline/ref=012F516C979C45145B5884A11791E2E17A31D4AF6BC9C5F9B433F412568C7C0E5093E7CE8B7E1BA8i7VEI" TargetMode="External"/><Relationship Id="rId23" Type="http://schemas.openxmlformats.org/officeDocument/2006/relationships/hyperlink" Target="consultantplus://offline/ref=012F516C979C45145B5884A11791E2E17A31D4AF6BC9C5F9B433F412568C7C0E5093E7CE8B7E1BAEi7VDI" TargetMode="External"/><Relationship Id="rId28" Type="http://schemas.openxmlformats.org/officeDocument/2006/relationships/hyperlink" Target="consultantplus://offline/ref=012F516C979C45145B5884A11791E2E17A31D4AF6BC9C5F9B433F412568C7C0E5093E7CE8B7E1BACi7V3I" TargetMode="External"/><Relationship Id="rId36" Type="http://schemas.openxmlformats.org/officeDocument/2006/relationships/hyperlink" Target="consultantplus://offline/ref=012F516C979C45145B5884A11791E2E17A31D4AF6BC9C5F9B433F412568C7C0E5093E7CE8B7E1BA2i7V2I" TargetMode="External"/><Relationship Id="rId49" Type="http://schemas.openxmlformats.org/officeDocument/2006/relationships/hyperlink" Target="consultantplus://offline/ref=012F516C979C45145B5884A11791E2E17A31D4AF6BC9C5F9B433F412568C7C0E5093E7CE8B7E1DAFi7V2I" TargetMode="External"/><Relationship Id="rId57" Type="http://schemas.openxmlformats.org/officeDocument/2006/relationships/hyperlink" Target="consultantplus://offline/ref=012F516C979C45145B5884A11791E2E17A31D4AF6BC9C5F9B433F412568C7C0E5093E7CE8B7E1BA3i7VAI" TargetMode="External"/><Relationship Id="rId106" Type="http://schemas.openxmlformats.org/officeDocument/2006/relationships/hyperlink" Target="consultantplus://offline/ref=012F516C979C45145B5884A11791E2E17A31D4AF6BC9C5F9B433F412568C7C0E5093E7CE8B7E1BACi7V3I" TargetMode="External"/><Relationship Id="rId114" Type="http://schemas.openxmlformats.org/officeDocument/2006/relationships/hyperlink" Target="consultantplus://offline/ref=012F516C979C45145B5884A11791E2E17A31D4AF6BC9C5F9B433F412568C7C0E5093E7CE8B7E18ADi7VEI" TargetMode="External"/><Relationship Id="rId119" Type="http://schemas.openxmlformats.org/officeDocument/2006/relationships/hyperlink" Target="consultantplus://offline/ref=012F516C979C45145B5884A11791E2E17A36D3A967C5C5F9B433F41256i8VCI" TargetMode="External"/><Relationship Id="rId127" Type="http://schemas.openxmlformats.org/officeDocument/2006/relationships/hyperlink" Target="consultantplus://offline/ref=012F516C979C45145B5884A11791E2E17A31D4AF6BC9C5F9B433F412568C7C0E5093E7CE8B7E1DAEi7V8I" TargetMode="External"/><Relationship Id="rId10" Type="http://schemas.openxmlformats.org/officeDocument/2006/relationships/hyperlink" Target="consultantplus://offline/ref=012F516C979C45145B5884A11791E2E17A37D5AF60CCC5F9B433F41256i8VCI" TargetMode="External"/><Relationship Id="rId31" Type="http://schemas.openxmlformats.org/officeDocument/2006/relationships/hyperlink" Target="consultantplus://offline/ref=012F516C979C45145B5884A11791E2E17A31D4AF6BC9C5F9B433F412568C7C0E5093E7CE8B7E1BACi7V3I" TargetMode="External"/><Relationship Id="rId44" Type="http://schemas.openxmlformats.org/officeDocument/2006/relationships/hyperlink" Target="consultantplus://offline/ref=012F516C979C45145B5884A11791E2E17A31D4AF6BC9C5F9B433F412568C7C0E5093E7CE8B7E1BA3i7VAI" TargetMode="External"/><Relationship Id="rId52" Type="http://schemas.openxmlformats.org/officeDocument/2006/relationships/hyperlink" Target="consultantplus://offline/ref=012F516C979C45145B5884A11791E2E17A37D7AA65CBC5F9B433F412568C7C0E5093E7CE8B761AADi7VAI" TargetMode="External"/><Relationship Id="rId60" Type="http://schemas.openxmlformats.org/officeDocument/2006/relationships/hyperlink" Target="consultantplus://offline/ref=012F516C979C45145B5884A11791E2E17A37D7AA65CBC5F9B433F412568C7C0E5093E7CE8B761AA2i7VEI" TargetMode="External"/><Relationship Id="rId65" Type="http://schemas.openxmlformats.org/officeDocument/2006/relationships/hyperlink" Target="consultantplus://offline/ref=012F516C979C45145B5884A11791E2E17A37D6A967CDC5F9B433F412568C7C0E5093E7CE8B7F13A2i7VAI" TargetMode="External"/><Relationship Id="rId73" Type="http://schemas.openxmlformats.org/officeDocument/2006/relationships/hyperlink" Target="consultantplus://offline/ref=012F516C979C45145B5884A11791E2E17A31D4AF6BC9C5F9B433F412568C7C0E5093E7CE8B7E1BA3i7V8I" TargetMode="External"/><Relationship Id="rId78" Type="http://schemas.openxmlformats.org/officeDocument/2006/relationships/hyperlink" Target="consultantplus://offline/ref=012F516C979C45145B5884A11791E2E17A37D6A967CDC5F9B433F412568C7C0E5093E7CE8B7C1BA3i7V9I" TargetMode="External"/><Relationship Id="rId81" Type="http://schemas.openxmlformats.org/officeDocument/2006/relationships/hyperlink" Target="consultantplus://offline/ref=012F516C979C45145B5884A11791E2E17A37D6A967CDC5F9B433F412568C7C0E5093E7CE8B7C18ADi7VCI" TargetMode="External"/><Relationship Id="rId86" Type="http://schemas.openxmlformats.org/officeDocument/2006/relationships/hyperlink" Target="consultantplus://offline/ref=012F516C979C45145B5884A11791E2E17A37D6A967CDC5F9B433F41256i8VCI" TargetMode="External"/><Relationship Id="rId94" Type="http://schemas.openxmlformats.org/officeDocument/2006/relationships/hyperlink" Target="consultantplus://offline/ref=012F516C979C45145B5884A11791E2E17A31D4AF6BC9C5F9B433F412568C7C0E5093E7CE8B7E1BA3i7VAI" TargetMode="External"/><Relationship Id="rId99" Type="http://schemas.openxmlformats.org/officeDocument/2006/relationships/hyperlink" Target="consultantplus://offline/ref=012F516C979C45145B5884A11791E2E17A36D9A162CDC5F9B433F41256i8VCI" TargetMode="External"/><Relationship Id="rId101" Type="http://schemas.openxmlformats.org/officeDocument/2006/relationships/hyperlink" Target="consultantplus://offline/ref=012F516C979C45145B5884A11791E2E17A36D9A162CDC5F9B433F41256i8VCI" TargetMode="External"/><Relationship Id="rId122" Type="http://schemas.openxmlformats.org/officeDocument/2006/relationships/hyperlink" Target="consultantplus://offline/ref=012F516C979C45145B5884A11791E2E17A31D4AF6BC9C5F9B433F412568C7C0E5093E7CE8B7E1BADi7VEI" TargetMode="External"/><Relationship Id="rId130" Type="http://schemas.openxmlformats.org/officeDocument/2006/relationships/hyperlink" Target="consultantplus://offline/ref=012F516C979C45145B5884A11791E2E17A31D4AF6BC9C5F9B433F412568C7C0E5093E7CE8B7E18A9i7V9I" TargetMode="External"/><Relationship Id="rId135" Type="http://schemas.openxmlformats.org/officeDocument/2006/relationships/hyperlink" Target="consultantplus://offline/ref=012F516C979C45145B5884A11791E2E17A31D4AF6BC9C5F9B433F412568C7C0E5093E7CE8B7E1BACi7V3I" TargetMode="External"/><Relationship Id="rId143" Type="http://schemas.openxmlformats.org/officeDocument/2006/relationships/hyperlink" Target="consultantplus://offline/ref=012F516C979C45145B5884A11791E2E17A37D7A860C4C5F9B433F412568C7C0E5093E7CE8379i1V8I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2F516C979C45145B5884A11791E2E17A37D7AA65CBC5F9B433F412568C7C0E5093E7CE8B7F1DADi7VFI" TargetMode="External"/><Relationship Id="rId13" Type="http://schemas.openxmlformats.org/officeDocument/2006/relationships/hyperlink" Target="consultantplus://offline/ref=012F516C979C45145B5884A11791E2E17A31D4AF6BC9C5F9B433F412568C7C0E5093E7CE8B7E1DAAi7VAI" TargetMode="External"/><Relationship Id="rId18" Type="http://schemas.openxmlformats.org/officeDocument/2006/relationships/hyperlink" Target="consultantplus://offline/ref=012F516C979C45145B5884A11791E2E17A31D4AF6BC9C5F9B433F412568C7C0E5093E7CE8B7E1BA8i7VFI" TargetMode="External"/><Relationship Id="rId39" Type="http://schemas.openxmlformats.org/officeDocument/2006/relationships/hyperlink" Target="consultantplus://offline/ref=012F516C979C45145B5884A11791E2E17A37D7AD63C9C5F9B433F41256i8VCI" TargetMode="External"/><Relationship Id="rId109" Type="http://schemas.openxmlformats.org/officeDocument/2006/relationships/hyperlink" Target="consultantplus://offline/ref=012F516C979C45145B5884A11791E2E17A31D4AF6BC9C5F9B433F412568C7C0E5093E7CE8B7E1BACi7V3I" TargetMode="External"/><Relationship Id="rId34" Type="http://schemas.openxmlformats.org/officeDocument/2006/relationships/hyperlink" Target="consultantplus://offline/ref=012F516C979C45145B5884A11791E2E17A31D4AF6BC9C5F9B433F412568C7C0E5093E7CE8B7E1BA2i7V9I" TargetMode="External"/><Relationship Id="rId50" Type="http://schemas.openxmlformats.org/officeDocument/2006/relationships/hyperlink" Target="consultantplus://offline/ref=012F516C979C45145B5884A11791E2E17A31D4AF6BC9C5F9B433F412568C7C0E5093E7CE8B7E1BA3i7V8I" TargetMode="External"/><Relationship Id="rId55" Type="http://schemas.openxmlformats.org/officeDocument/2006/relationships/hyperlink" Target="consultantplus://offline/ref=012F516C979C45145B5884A11791E2E17A31D4AF6BC9C5F9B433F412568C7C0E5093E7CE8B7E1BA3i7VAI" TargetMode="External"/><Relationship Id="rId76" Type="http://schemas.openxmlformats.org/officeDocument/2006/relationships/hyperlink" Target="consultantplus://offline/ref=012F516C979C45145B5884A11791E2E17A31D4AF6BC9C5F9B433F412568C7C0E5093E7CE8B7E1BA3i7VAI" TargetMode="External"/><Relationship Id="rId97" Type="http://schemas.openxmlformats.org/officeDocument/2006/relationships/hyperlink" Target="consultantplus://offline/ref=012F516C979C45145B5884A11791E2E17A31D4AF6BC9C5F9B433F412568C7C0E5093E7CE8B7E1BA3i7VAI" TargetMode="External"/><Relationship Id="rId104" Type="http://schemas.openxmlformats.org/officeDocument/2006/relationships/hyperlink" Target="consultantplus://offline/ref=012F516C979C45145B5884A11791E2E17A31D4AF6BC9C5F9B433F412568C7C0E5093E7CE8B7E1BACi7V3I" TargetMode="External"/><Relationship Id="rId120" Type="http://schemas.openxmlformats.org/officeDocument/2006/relationships/hyperlink" Target="consultantplus://offline/ref=012F516C979C45145B5884A11791E2E17A31D4AF6BC9C5F9B433F412568C7C0E5093E7CE8B7E1BADi7VEI" TargetMode="External"/><Relationship Id="rId125" Type="http://schemas.openxmlformats.org/officeDocument/2006/relationships/hyperlink" Target="consultantplus://offline/ref=012F516C979C45145B5884A11791E2E17A31D4AF6BC9C5F9B433F412568C7C0E5093E7CE8B7E1DA8i7VAI" TargetMode="External"/><Relationship Id="rId141" Type="http://schemas.openxmlformats.org/officeDocument/2006/relationships/hyperlink" Target="consultantplus://offline/ref=012F516C979C45145B5884A11791E2E17A31D4AF6BC9C5F9B433F412568C7C0E5093E7CE8B7E1BAAi7V3I" TargetMode="External"/><Relationship Id="rId146" Type="http://schemas.openxmlformats.org/officeDocument/2006/relationships/hyperlink" Target="consultantplus://offline/ref=012F516C979C45145B5884A11791E2E17A37D6A967CAC5F9B433F41256i8VCI" TargetMode="External"/><Relationship Id="rId7" Type="http://schemas.openxmlformats.org/officeDocument/2006/relationships/hyperlink" Target="consultantplus://offline/ref=012F516C979C45145B5884A11791E2E17A31D4AF6BC9C5F9B433F412568C7C0E5093E7CE8B7E1FACi7VFI" TargetMode="External"/><Relationship Id="rId71" Type="http://schemas.openxmlformats.org/officeDocument/2006/relationships/hyperlink" Target="consultantplus://offline/ref=012F516C979C45145B5884A11791E2E17A31D4AF6BC9C5F9B433F412568C7C0E5093E7CE8B7E1BAAi7V3I" TargetMode="External"/><Relationship Id="rId92" Type="http://schemas.openxmlformats.org/officeDocument/2006/relationships/hyperlink" Target="consultantplus://offline/ref=012F516C979C45145B5884A11791E2E17A31D4AF6BC9C5F9B433F412568C7C0E5093E7CE8B7E1DAFi7VF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12F516C979C45145B5884A11791E2E17A34D4A866CBC5F9B433F412568C7C0E5093E7CE8B7E1AABi7V8I" TargetMode="External"/><Relationship Id="rId24" Type="http://schemas.openxmlformats.org/officeDocument/2006/relationships/hyperlink" Target="consultantplus://offline/ref=012F516C979C45145B5884A11791E2E17A31D4AF6BC9C5F9B433F412568C7C0E5093E7CE8B7E1BAEi7V8I" TargetMode="External"/><Relationship Id="rId40" Type="http://schemas.openxmlformats.org/officeDocument/2006/relationships/hyperlink" Target="consultantplus://offline/ref=012F516C979C45145B5884A11791E2E17A31D4AF6BC9C5F9B433F412568C7C0E5093E7CE8B7E1BA2i7V2I" TargetMode="External"/><Relationship Id="rId45" Type="http://schemas.openxmlformats.org/officeDocument/2006/relationships/hyperlink" Target="consultantplus://offline/ref=012F516C979C45145B5884A11791E2E17A31D4AF6BC9C5F9B433F412568C7C0E5093E7CE8B7E1BA3i7VAI" TargetMode="External"/><Relationship Id="rId66" Type="http://schemas.openxmlformats.org/officeDocument/2006/relationships/hyperlink" Target="consultantplus://offline/ref=012F516C979C45145B5884A11791E2E17A37D6A860CAC5F9B433F412568C7C0E5093E7CE8B7C1AAFi7V2I" TargetMode="External"/><Relationship Id="rId87" Type="http://schemas.openxmlformats.org/officeDocument/2006/relationships/hyperlink" Target="consultantplus://offline/ref=012F516C979C45145B5884A11791E2E17A31D4AF6BC9C5F9B433F412568C7C0E5093E7CE8B7E1BA8i7VFI" TargetMode="External"/><Relationship Id="rId110" Type="http://schemas.openxmlformats.org/officeDocument/2006/relationships/hyperlink" Target="consultantplus://offline/ref=012F516C979C45145B5884A11791E2E17A37D7AB64C5C5F9B433F41256i8VCI" TargetMode="External"/><Relationship Id="rId115" Type="http://schemas.openxmlformats.org/officeDocument/2006/relationships/hyperlink" Target="consultantplus://offline/ref=012F516C979C45145B5884A11791E2E17A31D4AF6BC9C5F9B433F412568C7C0E5093E7CE8B7E1BACi7V3I" TargetMode="External"/><Relationship Id="rId131" Type="http://schemas.openxmlformats.org/officeDocument/2006/relationships/hyperlink" Target="consultantplus://offline/ref=012F516C979C45145B5884A11791E2E17A31D4AF6BC9C5F9B433F412568C7C0E5093E7CE8B7E1DACi7VDI" TargetMode="External"/><Relationship Id="rId136" Type="http://schemas.openxmlformats.org/officeDocument/2006/relationships/hyperlink" Target="consultantplus://offline/ref=012F516C979C45145B5884A11791E2E17A31D4AF6BC9C5F9B433F412568C7C0E5093E7CE8B7E1DACi7VEI" TargetMode="External"/><Relationship Id="rId61" Type="http://schemas.openxmlformats.org/officeDocument/2006/relationships/hyperlink" Target="consultantplus://offline/ref=012F516C979C45145B5884A11791E2E17A37D7AA65CBC5F9B433F412568C7C0E5093E7CE8B761AA9i7VCI" TargetMode="External"/><Relationship Id="rId82" Type="http://schemas.openxmlformats.org/officeDocument/2006/relationships/hyperlink" Target="consultantplus://offline/ref=012F516C979C45145B5884A11791E2E17A37D6A967CDC5F9B433F412568C7C0E5093E7CE8B7C19AFi7VEI" TargetMode="External"/><Relationship Id="rId19" Type="http://schemas.openxmlformats.org/officeDocument/2006/relationships/hyperlink" Target="consultantplus://offline/ref=012F516C979C45145B5884A11791E2E17A31D4AF6BC9C5F9B433F412568C7C0E5093E7CE8B7E1BA8i7VEI" TargetMode="External"/><Relationship Id="rId14" Type="http://schemas.openxmlformats.org/officeDocument/2006/relationships/hyperlink" Target="consultantplus://offline/ref=012F516C979C45145B5884A11791E2E17A31D4AF6BC9C5F9B433F412568C7C0E5093E7CE8B7E1BA8i7VFI" TargetMode="External"/><Relationship Id="rId30" Type="http://schemas.openxmlformats.org/officeDocument/2006/relationships/hyperlink" Target="consultantplus://offline/ref=012F516C979C45145B5884A11791E2E17A31D4AF6BC9C5F9B433F412568C7C0E5093E7CE8B7E1BACi7V3I" TargetMode="External"/><Relationship Id="rId35" Type="http://schemas.openxmlformats.org/officeDocument/2006/relationships/hyperlink" Target="consultantplus://offline/ref=012F516C979C45145B5884A11791E2E17A31D4AF6BC9C5F9B433F412568C7C0E5093E7CE8B7E1BA2i7V2I" TargetMode="External"/><Relationship Id="rId56" Type="http://schemas.openxmlformats.org/officeDocument/2006/relationships/hyperlink" Target="consultantplus://offline/ref=012F516C979C45145B5884A11791E2E17A31D4AF6BC9C5F9B433F412568C7C0E5093E7CE8B7E1BA3i7VAI" TargetMode="External"/><Relationship Id="rId77" Type="http://schemas.openxmlformats.org/officeDocument/2006/relationships/hyperlink" Target="consultantplus://offline/ref=012F516C979C45145B5884A11791E2E17A31D4AF6BC9C5F9B433F412568C7C0E5093E7CE8B7E1BA3i7VAI" TargetMode="External"/><Relationship Id="rId100" Type="http://schemas.openxmlformats.org/officeDocument/2006/relationships/hyperlink" Target="consultantplus://offline/ref=012F516C979C45145B5884A11791E2E17A37D7AC60C5C5F9B433F41256i8VCI" TargetMode="External"/><Relationship Id="rId105" Type="http://schemas.openxmlformats.org/officeDocument/2006/relationships/hyperlink" Target="consultantplus://offline/ref=012F516C979C45145B5884A11791E2E17A31D4AF6BC9C5F9B433F412568C7C0E5093E7CE8B7E1DAEi7VBI" TargetMode="External"/><Relationship Id="rId126" Type="http://schemas.openxmlformats.org/officeDocument/2006/relationships/hyperlink" Target="consultantplus://offline/ref=012F516C979C45145B5884A11791E2E17A31D4AF6BC9C5F9B433F412568C7C0E5093E7CE8B7E1BA9i7V3I" TargetMode="External"/><Relationship Id="rId147" Type="http://schemas.openxmlformats.org/officeDocument/2006/relationships/fontTable" Target="fontTable.xml"/><Relationship Id="rId8" Type="http://schemas.openxmlformats.org/officeDocument/2006/relationships/hyperlink" Target="consultantplus://offline/ref=012F516C979C45145B5884A11791E2E17A37D7AA65CBC5F9B433F412568C7C0E5093E7CE8B7E1AA8i7V2I" TargetMode="External"/><Relationship Id="rId51" Type="http://schemas.openxmlformats.org/officeDocument/2006/relationships/hyperlink" Target="consultantplus://offline/ref=012F516C979C45145B5884A11791E2E17A37D7AA65CBC5F9B433F412568C7C0E5093E7CE8B7E1AA8i7V2I" TargetMode="External"/><Relationship Id="rId72" Type="http://schemas.openxmlformats.org/officeDocument/2006/relationships/hyperlink" Target="consultantplus://offline/ref=012F516C979C45145B5884A11791E2E17A31D4AF6BC9C5F9B433F412568C7C0E5093E7CE8B7E1BACi7V9I" TargetMode="External"/><Relationship Id="rId93" Type="http://schemas.openxmlformats.org/officeDocument/2006/relationships/hyperlink" Target="consultantplus://offline/ref=012F516C979C45145B5884A11791E2E17A31D4AF6BC9C5F9B433F412568C7C0E5093E7CE8B7E1DAFi7VDI" TargetMode="External"/><Relationship Id="rId98" Type="http://schemas.openxmlformats.org/officeDocument/2006/relationships/hyperlink" Target="consultantplus://offline/ref=012F516C979C45145B5884A11791E2E17A31D1AE63CAC5F9B433F412568C7C0E5093E7CE8B7E1AABi7V3I" TargetMode="External"/><Relationship Id="rId121" Type="http://schemas.openxmlformats.org/officeDocument/2006/relationships/hyperlink" Target="consultantplus://offline/ref=012F516C979C45145B5884A11791E2E17A31D4AF6BC9C5F9B433F412568C7C0E5093E7CE8B7E1DAEi7VDI" TargetMode="External"/><Relationship Id="rId142" Type="http://schemas.openxmlformats.org/officeDocument/2006/relationships/hyperlink" Target="consultantplus://offline/ref=012F516C979C45145B5884A11791E2E17A31D4AF6BC9C5F9B433F412568C7C0E5093E7CE8B7E1BAAi7V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6499</Words>
  <Characters>37047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2014-07-14T08:21:00Z</dcterms:created>
  <dcterms:modified xsi:type="dcterms:W3CDTF">2014-07-14T08:21:00Z</dcterms:modified>
</cp:coreProperties>
</file>