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34" w:type="dxa"/>
        <w:tblInd w:w="-97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80"/>
        <w:gridCol w:w="7654"/>
      </w:tblGrid>
      <w:tr w:rsidR="00FE0DBE" w:rsidRPr="00852171" w:rsidTr="000108AB">
        <w:trPr>
          <w:trHeight w:val="3025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DBE" w:rsidRDefault="000301DE" w:rsidP="00891977">
            <w:pPr>
              <w:tabs>
                <w:tab w:val="left" w:pos="7380"/>
              </w:tabs>
              <w:jc w:val="center"/>
              <w:rPr>
                <w:rFonts w:ascii="Arial" w:hAnsi="Arial" w:cs="Arial"/>
                <w:color w:val="990033"/>
                <w:sz w:val="12"/>
                <w:szCs w:val="12"/>
              </w:rPr>
            </w:pPr>
            <w:r w:rsidRPr="000301DE">
              <w:rPr>
                <w:rFonts w:ascii="Arial" w:hAnsi="Arial" w:cs="Arial"/>
                <w:noProof/>
                <w:color w:val="990033"/>
                <w:sz w:val="12"/>
                <w:szCs w:val="12"/>
              </w:rPr>
              <w:drawing>
                <wp:inline distT="0" distB="0" distL="0" distR="0">
                  <wp:extent cx="1670755" cy="2236994"/>
                  <wp:effectExtent l="114300" t="95250" r="81915" b="106680"/>
                  <wp:docPr id="1" name="Рисунок 1" descr="C:\Users\Olga\Documents\Содержание для ФНС\Содержание 2016\Номер 6-2016\NPIP COVER 6 2016-1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lga\Documents\Содержание для ФНС\Содержание 2016\Номер 6-2016\NPIP COVER 6 2016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355" cy="224716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glow rad="63500">
                              <a:schemeClr val="accent4">
                                <a:satMod val="175000"/>
                                <a:alpha val="40000"/>
                              </a:schemeClr>
                            </a:glow>
                            <a:innerShdw blurRad="63500" dist="50800" dir="18900000">
                              <a:prstClr val="black">
                                <a:alpha val="50000"/>
                              </a:prstClr>
                            </a:innerShdw>
                          </a:effectLst>
                          <a:scene3d>
                            <a:camera prst="orthographicFront">
                              <a:rot lat="0" lon="21299999" rev="0"/>
                            </a:camera>
                            <a:lightRig rig="threePt" dir="t"/>
                          </a:scene3d>
                          <a:sp3d contourW="12700">
                            <a:bevelB w="139700" h="139700" prst="divot"/>
                            <a:contourClr>
                              <a:srgbClr val="C0000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A309DE" w:rsidRPr="00891977" w:rsidRDefault="00A309DE" w:rsidP="00891977">
            <w:pPr>
              <w:tabs>
                <w:tab w:val="left" w:pos="7380"/>
              </w:tabs>
              <w:jc w:val="center"/>
              <w:rPr>
                <w:rFonts w:ascii="Arial" w:hAnsi="Arial" w:cs="Arial"/>
                <w:color w:val="990033"/>
                <w:sz w:val="12"/>
                <w:szCs w:val="12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0DBE" w:rsidRDefault="00CA5F74" w:rsidP="001A641B">
            <w:pPr>
              <w:tabs>
                <w:tab w:val="left" w:pos="7380"/>
              </w:tabs>
              <w:rPr>
                <w:b/>
                <w:color w:val="A53744"/>
                <w:sz w:val="44"/>
                <w:szCs w:val="44"/>
              </w:rPr>
            </w:pPr>
            <w:r w:rsidRPr="0029087D">
              <w:rPr>
                <w:b/>
                <w:noProof/>
                <w:color w:val="A53744"/>
                <w:sz w:val="44"/>
                <w:szCs w:val="44"/>
              </w:rPr>
              <w:drawing>
                <wp:inline distT="0" distB="0" distL="0" distR="0">
                  <wp:extent cx="4657725" cy="638318"/>
                  <wp:effectExtent l="0" t="0" r="0" b="9525"/>
                  <wp:docPr id="2" name="Рисунок 2" descr="proxy_imgs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xy_imgs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0926" cy="642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87D" w:rsidRDefault="0029087D" w:rsidP="0029087D">
            <w:pPr>
              <w:tabs>
                <w:tab w:val="left" w:pos="7380"/>
              </w:tabs>
              <w:ind w:left="-108"/>
              <w:jc w:val="center"/>
              <w:rPr>
                <w:rFonts w:ascii="Arial" w:hAnsi="Arial" w:cs="Arial"/>
                <w:b/>
                <w:color w:val="990000"/>
                <w:sz w:val="25"/>
                <w:szCs w:val="25"/>
              </w:rPr>
            </w:pPr>
            <w:r>
              <w:rPr>
                <w:rFonts w:ascii="Arial" w:hAnsi="Arial" w:cs="Arial"/>
                <w:b/>
                <w:color w:val="990000"/>
                <w:sz w:val="25"/>
                <w:szCs w:val="25"/>
              </w:rPr>
              <w:t>Официальное информационно-аналитическое издание</w:t>
            </w:r>
          </w:p>
          <w:p w:rsidR="0029087D" w:rsidRDefault="0029087D" w:rsidP="0029087D">
            <w:pPr>
              <w:tabs>
                <w:tab w:val="left" w:pos="7380"/>
              </w:tabs>
              <w:ind w:left="-540"/>
              <w:jc w:val="center"/>
              <w:rPr>
                <w:rFonts w:ascii="Arial" w:hAnsi="Arial" w:cs="Arial"/>
                <w:b/>
                <w:color w:val="990000"/>
                <w:sz w:val="25"/>
                <w:szCs w:val="25"/>
              </w:rPr>
            </w:pPr>
            <w:r>
              <w:rPr>
                <w:rFonts w:ascii="Arial" w:hAnsi="Arial" w:cs="Arial"/>
                <w:b/>
                <w:color w:val="990000"/>
                <w:sz w:val="25"/>
                <w:szCs w:val="25"/>
              </w:rPr>
              <w:t>ФНС России</w:t>
            </w:r>
          </w:p>
          <w:p w:rsidR="005F0414" w:rsidRDefault="005F0414" w:rsidP="00A73E09">
            <w:pPr>
              <w:pStyle w:val="a5"/>
              <w:jc w:val="center"/>
              <w:rPr>
                <w:b/>
                <w:i/>
                <w:color w:val="365F91"/>
              </w:rPr>
            </w:pPr>
          </w:p>
          <w:p w:rsidR="00A73E09" w:rsidRPr="00A73E09" w:rsidRDefault="00A73E09" w:rsidP="00A73E09">
            <w:pPr>
              <w:pStyle w:val="a5"/>
              <w:jc w:val="center"/>
              <w:rPr>
                <w:b/>
                <w:i/>
                <w:color w:val="365F91"/>
              </w:rPr>
            </w:pPr>
            <w:r w:rsidRPr="00A73E09">
              <w:rPr>
                <w:b/>
                <w:i/>
                <w:color w:val="365F91"/>
              </w:rPr>
              <w:t>Надежный и достоверный источник</w:t>
            </w:r>
          </w:p>
          <w:p w:rsidR="00A73E09" w:rsidRDefault="00A73E09" w:rsidP="00A73E09">
            <w:pPr>
              <w:jc w:val="center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  <w:r w:rsidRPr="00A73E09">
              <w:rPr>
                <w:b/>
                <w:i/>
                <w:color w:val="365F91"/>
              </w:rPr>
              <w:t>профессиональной налоговой информации</w:t>
            </w:r>
            <w:r w:rsidRPr="00A73E09">
              <w:rPr>
                <w:rFonts w:ascii="Arial" w:hAnsi="Arial" w:cs="Arial"/>
                <w:b/>
                <w:color w:val="17365D"/>
                <w:sz w:val="20"/>
                <w:szCs w:val="20"/>
              </w:rPr>
              <w:t xml:space="preserve"> </w:t>
            </w:r>
          </w:p>
          <w:p w:rsidR="00A73E09" w:rsidRDefault="00A73E09" w:rsidP="00A73E09">
            <w:pPr>
              <w:jc w:val="center"/>
              <w:rPr>
                <w:rFonts w:ascii="Arial" w:hAnsi="Arial" w:cs="Arial"/>
                <w:b/>
                <w:color w:val="17365D"/>
                <w:sz w:val="20"/>
                <w:szCs w:val="20"/>
              </w:rPr>
            </w:pPr>
          </w:p>
          <w:p w:rsidR="0029087D" w:rsidRPr="00B404B9" w:rsidRDefault="00A73E09" w:rsidP="00A73E09">
            <w:pPr>
              <w:jc w:val="center"/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</w:pPr>
            <w:r w:rsidRPr="00B404B9">
              <w:rPr>
                <w:rFonts w:ascii="Arial" w:hAnsi="Arial" w:cs="Arial"/>
                <w:b/>
                <w:color w:val="17365D"/>
                <w:sz w:val="20"/>
                <w:szCs w:val="20"/>
              </w:rPr>
              <w:t>Подписка: т</w:t>
            </w:r>
            <w:r w:rsidR="0029087D" w:rsidRPr="00B404B9">
              <w:rPr>
                <w:rFonts w:ascii="Arial" w:hAnsi="Arial" w:cs="Arial"/>
                <w:b/>
                <w:color w:val="17365D"/>
                <w:sz w:val="20"/>
                <w:szCs w:val="20"/>
              </w:rPr>
              <w:t xml:space="preserve">ел./факс: </w:t>
            </w:r>
            <w:r w:rsidR="0029087D" w:rsidRPr="00B404B9">
              <w:rPr>
                <w:rFonts w:ascii="Arial" w:hAnsi="Arial" w:cs="Arial"/>
                <w:b/>
                <w:bCs/>
                <w:color w:val="17365D"/>
                <w:sz w:val="20"/>
                <w:szCs w:val="20"/>
              </w:rPr>
              <w:t>(495) 417-6044</w:t>
            </w:r>
          </w:p>
          <w:p w:rsidR="00BD3687" w:rsidRPr="006D1020" w:rsidRDefault="0029087D" w:rsidP="00A73E09">
            <w:pPr>
              <w:jc w:val="center"/>
              <w:rPr>
                <w:b/>
                <w:i/>
                <w:color w:val="365F91"/>
                <w:lang w:val="en-US"/>
              </w:rPr>
            </w:pPr>
            <w:r w:rsidRPr="00B404B9">
              <w:rPr>
                <w:rFonts w:ascii="Arial" w:hAnsi="Arial" w:cs="Arial"/>
                <w:b/>
                <w:bCs/>
                <w:color w:val="17365D"/>
                <w:sz w:val="20"/>
                <w:szCs w:val="20"/>
                <w:lang w:val="en-US"/>
              </w:rPr>
              <w:t>www</w:t>
            </w:r>
            <w:r w:rsidRPr="006D1020">
              <w:rPr>
                <w:rFonts w:ascii="Arial" w:hAnsi="Arial" w:cs="Arial"/>
                <w:b/>
                <w:bCs/>
                <w:color w:val="17365D"/>
                <w:sz w:val="20"/>
                <w:szCs w:val="20"/>
                <w:lang w:val="en-US"/>
              </w:rPr>
              <w:t>.</w:t>
            </w:r>
            <w:hyperlink r:id="rId9" w:history="1">
              <w:r w:rsidRPr="00B404B9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nalogkodeks</w:t>
              </w:r>
            </w:hyperlink>
            <w:hyperlink r:id="rId10" w:tgtFrame="_parent" w:history="1">
              <w:r w:rsidRPr="006D1020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.</w:t>
              </w:r>
            </w:hyperlink>
            <w:hyperlink r:id="rId11" w:tgtFrame="_parent" w:history="1">
              <w:r w:rsidRPr="00B404B9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ru</w:t>
              </w:r>
            </w:hyperlink>
            <w:r w:rsidR="00BD3687" w:rsidRPr="006D1020">
              <w:rPr>
                <w:rFonts w:ascii="Arial" w:hAnsi="Arial" w:cs="Arial"/>
                <w:b/>
                <w:bCs/>
                <w:color w:val="17365D"/>
                <w:sz w:val="20"/>
                <w:szCs w:val="20"/>
                <w:lang w:val="en-US"/>
              </w:rPr>
              <w:t xml:space="preserve">; </w:t>
            </w:r>
            <w:r w:rsidRPr="00B404B9">
              <w:rPr>
                <w:rFonts w:ascii="Arial" w:hAnsi="Arial" w:cs="Arial"/>
                <w:b/>
                <w:bCs/>
                <w:color w:val="17365D"/>
                <w:sz w:val="20"/>
                <w:szCs w:val="20"/>
                <w:lang w:val="en-US"/>
              </w:rPr>
              <w:t>e</w:t>
            </w:r>
            <w:r w:rsidRPr="006D1020">
              <w:rPr>
                <w:rFonts w:ascii="Arial" w:hAnsi="Arial" w:cs="Arial"/>
                <w:b/>
                <w:bCs/>
                <w:color w:val="17365D"/>
                <w:sz w:val="20"/>
                <w:szCs w:val="20"/>
                <w:lang w:val="en-US"/>
              </w:rPr>
              <w:t>-</w:t>
            </w:r>
            <w:r w:rsidRPr="00B404B9">
              <w:rPr>
                <w:rFonts w:ascii="Arial" w:hAnsi="Arial" w:cs="Arial"/>
                <w:b/>
                <w:bCs/>
                <w:color w:val="17365D"/>
                <w:sz w:val="20"/>
                <w:szCs w:val="20"/>
                <w:lang w:val="en-US"/>
              </w:rPr>
              <w:t>mail</w:t>
            </w:r>
            <w:r w:rsidRPr="006D1020">
              <w:rPr>
                <w:rFonts w:ascii="Arial" w:hAnsi="Arial" w:cs="Arial"/>
                <w:b/>
                <w:bCs/>
                <w:color w:val="17365D"/>
                <w:sz w:val="20"/>
                <w:szCs w:val="20"/>
                <w:lang w:val="en-US"/>
              </w:rPr>
              <w:t xml:space="preserve">: </w:t>
            </w:r>
            <w:hyperlink r:id="rId12" w:history="1">
              <w:r w:rsidRPr="00B404B9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info</w:t>
              </w:r>
              <w:r w:rsidRPr="006D1020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@</w:t>
              </w:r>
              <w:r w:rsidRPr="00B404B9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nalogkodeks</w:t>
              </w:r>
              <w:r w:rsidRPr="006D1020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.</w:t>
              </w:r>
              <w:r w:rsidRPr="00B404B9">
                <w:rPr>
                  <w:rStyle w:val="a3"/>
                  <w:rFonts w:ascii="Arial" w:hAnsi="Arial" w:cs="Arial"/>
                  <w:b/>
                  <w:bCs/>
                  <w:color w:val="17365D"/>
                  <w:sz w:val="20"/>
                  <w:szCs w:val="20"/>
                  <w:lang w:val="en-US"/>
                </w:rPr>
                <w:t>ru</w:t>
              </w:r>
            </w:hyperlink>
            <w:bookmarkStart w:id="0" w:name="_GoBack"/>
            <w:bookmarkEnd w:id="0"/>
          </w:p>
          <w:p w:rsidR="0029087D" w:rsidRPr="006D1020" w:rsidRDefault="0029087D" w:rsidP="00BD3687">
            <w:pPr>
              <w:pStyle w:val="a5"/>
              <w:jc w:val="center"/>
              <w:rPr>
                <w:rFonts w:ascii="Arial" w:hAnsi="Arial" w:cs="Arial"/>
                <w:color w:val="990033"/>
                <w:sz w:val="20"/>
                <w:szCs w:val="20"/>
                <w:lang w:val="en-US"/>
              </w:rPr>
            </w:pPr>
          </w:p>
        </w:tc>
      </w:tr>
      <w:tr w:rsidR="0029087D" w:rsidRPr="00664A9B" w:rsidTr="000108AB">
        <w:trPr>
          <w:trHeight w:val="1525"/>
        </w:trPr>
        <w:tc>
          <w:tcPr>
            <w:tcW w:w="10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3687" w:rsidRPr="00B404B9" w:rsidRDefault="0029087D" w:rsidP="0029087D">
            <w:pPr>
              <w:spacing w:before="240"/>
              <w:jc w:val="center"/>
              <w:rPr>
                <w:rFonts w:ascii="Arial" w:hAnsi="Arial" w:cs="Arial"/>
                <w:color w:val="365F91"/>
                <w:sz w:val="8"/>
                <w:szCs w:val="8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>● Освещает вопросы налоговой политики и практического применения норм налогового законодательства</w:t>
            </w:r>
          </w:p>
          <w:p w:rsidR="00BD3687" w:rsidRPr="00B404B9" w:rsidRDefault="00BD3687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8"/>
                <w:szCs w:val="8"/>
              </w:rPr>
            </w:pPr>
          </w:p>
          <w:p w:rsidR="0029087D" w:rsidRPr="00B404B9" w:rsidRDefault="0029087D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21"/>
                <w:szCs w:val="21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>● Знакомит налогоплательщиков с решениями ФНС России в сфере налогового администрирования</w:t>
            </w:r>
          </w:p>
          <w:p w:rsidR="00BD3687" w:rsidRDefault="0029087D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21"/>
                <w:szCs w:val="21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>и нормативного регулирования</w:t>
            </w:r>
          </w:p>
          <w:p w:rsidR="00654369" w:rsidRPr="00654369" w:rsidRDefault="00654369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12"/>
                <w:szCs w:val="12"/>
              </w:rPr>
            </w:pPr>
          </w:p>
          <w:p w:rsidR="0029087D" w:rsidRPr="00B404B9" w:rsidRDefault="0029087D" w:rsidP="00BD3687">
            <w:pPr>
              <w:pStyle w:val="a5"/>
              <w:jc w:val="center"/>
              <w:rPr>
                <w:rFonts w:ascii="Arial" w:hAnsi="Arial" w:cs="Arial"/>
                <w:color w:val="365F91"/>
                <w:sz w:val="21"/>
                <w:szCs w:val="21"/>
              </w:rPr>
            </w:pPr>
            <w:r w:rsidRPr="00B404B9">
              <w:rPr>
                <w:rFonts w:ascii="Arial" w:hAnsi="Arial" w:cs="Arial"/>
                <w:color w:val="365F91"/>
                <w:sz w:val="21"/>
                <w:szCs w:val="21"/>
              </w:rPr>
              <w:t xml:space="preserve">● </w:t>
            </w:r>
            <w:r w:rsidR="00654369">
              <w:rPr>
                <w:rFonts w:ascii="Arial" w:hAnsi="Arial" w:cs="Arial"/>
                <w:color w:val="365F91"/>
                <w:sz w:val="21"/>
                <w:szCs w:val="21"/>
              </w:rPr>
              <w:t>Консультирует по проблемным аспектам налогообложения</w:t>
            </w:r>
          </w:p>
          <w:p w:rsidR="0029087D" w:rsidRPr="00B404B9" w:rsidRDefault="0029087D" w:rsidP="0029087D">
            <w:pPr>
              <w:jc w:val="center"/>
              <w:rPr>
                <w:rFonts w:ascii="Arial" w:hAnsi="Arial" w:cs="Arial"/>
                <w:color w:val="365F91"/>
                <w:sz w:val="8"/>
                <w:szCs w:val="8"/>
              </w:rPr>
            </w:pPr>
          </w:p>
          <w:p w:rsidR="0029087D" w:rsidRPr="005F0414" w:rsidRDefault="0029087D" w:rsidP="00654369">
            <w:pPr>
              <w:tabs>
                <w:tab w:val="left" w:pos="7380"/>
              </w:tabs>
              <w:jc w:val="center"/>
              <w:rPr>
                <w:rFonts w:ascii="Arial" w:hAnsi="Arial" w:cs="Arial"/>
                <w:color w:val="990033"/>
                <w:sz w:val="12"/>
                <w:szCs w:val="12"/>
              </w:rPr>
            </w:pPr>
          </w:p>
        </w:tc>
      </w:tr>
    </w:tbl>
    <w:p w:rsidR="00FE0DBE" w:rsidRPr="0029087D" w:rsidRDefault="00FE0DBE" w:rsidP="00FE0DBE">
      <w:pPr>
        <w:tabs>
          <w:tab w:val="left" w:pos="7380"/>
        </w:tabs>
        <w:ind w:left="-540"/>
        <w:jc w:val="center"/>
        <w:rPr>
          <w:rFonts w:ascii="Arial" w:hAnsi="Arial" w:cs="Arial"/>
          <w:b/>
          <w:color w:val="990033"/>
          <w:sz w:val="28"/>
          <w:szCs w:val="28"/>
        </w:rPr>
      </w:pPr>
      <w:r w:rsidRPr="00852171">
        <w:rPr>
          <w:rFonts w:ascii="Arial" w:hAnsi="Arial" w:cs="Arial"/>
          <w:b/>
          <w:sz w:val="28"/>
          <w:szCs w:val="28"/>
        </w:rPr>
        <w:t xml:space="preserve">Читайте в номере </w:t>
      </w:r>
      <w:r w:rsidR="0075582F" w:rsidRPr="00852171">
        <w:rPr>
          <w:rFonts w:ascii="Arial" w:hAnsi="Arial" w:cs="Arial"/>
          <w:b/>
          <w:sz w:val="28"/>
          <w:szCs w:val="28"/>
        </w:rPr>
        <w:t>6</w:t>
      </w:r>
      <w:r w:rsidRPr="00852171">
        <w:rPr>
          <w:rFonts w:ascii="Arial" w:hAnsi="Arial" w:cs="Arial"/>
          <w:b/>
          <w:sz w:val="28"/>
          <w:szCs w:val="28"/>
        </w:rPr>
        <w:t>/201</w:t>
      </w:r>
      <w:r w:rsidR="00A309DE" w:rsidRPr="00852171">
        <w:rPr>
          <w:rFonts w:ascii="Arial" w:hAnsi="Arial" w:cs="Arial"/>
          <w:b/>
          <w:sz w:val="28"/>
          <w:szCs w:val="28"/>
        </w:rPr>
        <w:t>6</w:t>
      </w:r>
    </w:p>
    <w:tbl>
      <w:tblPr>
        <w:tblW w:w="104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77"/>
        <w:gridCol w:w="7101"/>
      </w:tblGrid>
      <w:tr w:rsidR="000108AB" w:rsidRPr="00C76FB5" w:rsidTr="00254A0F">
        <w:trPr>
          <w:trHeight w:val="1682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8AB" w:rsidRPr="00E13E9C" w:rsidRDefault="000108AB" w:rsidP="00E13E9C">
            <w:pPr>
              <w:rPr>
                <w:b/>
              </w:rPr>
            </w:pPr>
            <w:r w:rsidRPr="00E13E9C">
              <w:rPr>
                <w:b/>
              </w:rPr>
              <w:t>Актуальные вопросы, связанные с администрированием специальных налоговых режимов</w:t>
            </w:r>
          </w:p>
          <w:p w:rsidR="000108AB" w:rsidRPr="00E13E9C" w:rsidRDefault="000108AB" w:rsidP="00E13E9C">
            <w:pPr>
              <w:rPr>
                <w:b/>
              </w:rPr>
            </w:pPr>
          </w:p>
          <w:p w:rsidR="000108AB" w:rsidRPr="00E13E9C" w:rsidRDefault="000108AB" w:rsidP="00E13E9C">
            <w:pPr>
              <w:rPr>
                <w:b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8AB" w:rsidRPr="00D55C92" w:rsidRDefault="000108AB" w:rsidP="000108AB">
            <w:pPr>
              <w:jc w:val="both"/>
            </w:pPr>
            <w:r w:rsidRPr="00D55C92">
              <w:t>Можно ли совмещать применение нескольких специальных режимов —</w:t>
            </w:r>
            <w:r>
              <w:t xml:space="preserve"> </w:t>
            </w:r>
            <w:r w:rsidRPr="00D55C92">
              <w:t>«упрощёнки», ЕНВД — с патентной системой налогообложения?</w:t>
            </w:r>
            <w:r>
              <w:t xml:space="preserve"> </w:t>
            </w:r>
            <w:r w:rsidRPr="00D55C92">
              <w:t>Как правильно исчислить ЕНВД, если количество торговых точек</w:t>
            </w:r>
            <w:r>
              <w:t xml:space="preserve"> </w:t>
            </w:r>
            <w:r w:rsidRPr="00D55C92">
              <w:t>уменьшилось в течение месяца? Об этом и не только рассказал</w:t>
            </w:r>
            <w:r>
              <w:t xml:space="preserve"> </w:t>
            </w:r>
            <w:r w:rsidRPr="00D55C92">
              <w:t>начальник отдела специальных налоговых режимов Управления</w:t>
            </w:r>
            <w:r>
              <w:t xml:space="preserve"> </w:t>
            </w:r>
            <w:r w:rsidRPr="00D55C92">
              <w:t xml:space="preserve">налогообложения юридических лиц ФНС России </w:t>
            </w:r>
            <w:r w:rsidRPr="000108AB">
              <w:rPr>
                <w:b/>
              </w:rPr>
              <w:t>М.А. Садыков</w:t>
            </w:r>
            <w:r w:rsidRPr="00D55C92">
              <w:t>.</w:t>
            </w:r>
          </w:p>
        </w:tc>
      </w:tr>
      <w:tr w:rsidR="00C76FB5" w:rsidRPr="00C76FB5" w:rsidTr="00254A0F">
        <w:trPr>
          <w:trHeight w:val="1682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E9C" w:rsidRDefault="0075582F" w:rsidP="00E13E9C">
            <w:pPr>
              <w:rPr>
                <w:b/>
              </w:rPr>
            </w:pPr>
            <w:r w:rsidRPr="00E13E9C">
              <w:rPr>
                <w:b/>
              </w:rPr>
              <w:t>НДС: как действовать налоговым агентам</w:t>
            </w:r>
          </w:p>
          <w:p w:rsidR="0075582F" w:rsidRPr="00E13E9C" w:rsidRDefault="0075582F" w:rsidP="00E13E9C">
            <w:pPr>
              <w:rPr>
                <w:b/>
              </w:rPr>
            </w:pPr>
            <w:r w:rsidRPr="00E13E9C">
              <w:rPr>
                <w:b/>
              </w:rPr>
              <w:t>и посредникам</w:t>
            </w:r>
          </w:p>
          <w:p w:rsidR="00C76FB5" w:rsidRPr="00E13E9C" w:rsidRDefault="00C76FB5" w:rsidP="00E13E9C">
            <w:pPr>
              <w:autoSpaceDE w:val="0"/>
              <w:autoSpaceDN w:val="0"/>
              <w:adjustRightInd w:val="0"/>
              <w:rPr>
                <w:rFonts w:eastAsia="FranklinGothicBookITC-Regular"/>
                <w:b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B5" w:rsidRPr="00C76FB5" w:rsidRDefault="0075582F" w:rsidP="0075582F">
            <w:pPr>
              <w:jc w:val="both"/>
              <w:rPr>
                <w:rFonts w:eastAsia="CharterITC-Italic"/>
                <w:i/>
                <w:iCs/>
                <w:color w:val="316989"/>
              </w:rPr>
            </w:pPr>
            <w:r w:rsidRPr="00D55C92">
              <w:t>Советник отдела налога на добавленную стоимо</w:t>
            </w:r>
            <w:r>
              <w:t>с</w:t>
            </w:r>
            <w:r w:rsidRPr="00D55C92">
              <w:t>ть Управления</w:t>
            </w:r>
            <w:r>
              <w:t xml:space="preserve"> </w:t>
            </w:r>
            <w:r w:rsidRPr="00D55C92">
              <w:t xml:space="preserve">налогообложения юридических лиц ФНС России </w:t>
            </w:r>
            <w:r w:rsidRPr="000108AB">
              <w:rPr>
                <w:b/>
              </w:rPr>
              <w:t>О.С. Думинская</w:t>
            </w:r>
            <w:r>
              <w:t xml:space="preserve"> </w:t>
            </w:r>
            <w:r w:rsidRPr="00D55C92">
              <w:t>на примерах объяснила, как правильно заполнить журнал учета</w:t>
            </w:r>
            <w:r>
              <w:t xml:space="preserve"> </w:t>
            </w:r>
            <w:r w:rsidRPr="00D55C92">
              <w:t>полученных и выставленных счетов-фактур, когда посредник</w:t>
            </w:r>
            <w:r>
              <w:t xml:space="preserve"> </w:t>
            </w:r>
            <w:r w:rsidRPr="00D55C92">
              <w:t>реализует товары нескольких комитентов или приобретает</w:t>
            </w:r>
            <w:r>
              <w:t xml:space="preserve"> </w:t>
            </w:r>
            <w:r w:rsidRPr="00D55C92">
              <w:t>для них товары, внести исправления в книгу покупок и книгу продаж,</w:t>
            </w:r>
            <w:r>
              <w:t xml:space="preserve"> </w:t>
            </w:r>
            <w:r w:rsidRPr="00D55C92">
              <w:t>и ответила на другие актуальные вопросы.</w:t>
            </w:r>
          </w:p>
        </w:tc>
      </w:tr>
      <w:tr w:rsidR="00254A0F" w:rsidRPr="00254A0F" w:rsidTr="00254A0F">
        <w:trPr>
          <w:trHeight w:val="1142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E9C" w:rsidRDefault="000108AB" w:rsidP="00E13E9C">
            <w:pPr>
              <w:rPr>
                <w:b/>
              </w:rPr>
            </w:pPr>
            <w:r w:rsidRPr="00E13E9C">
              <w:rPr>
                <w:b/>
              </w:rPr>
              <w:t>Новая форма налогового расчета о суммах выплаченных иностранным организациям доходов</w:t>
            </w:r>
          </w:p>
          <w:p w:rsidR="000108AB" w:rsidRPr="00E13E9C" w:rsidRDefault="000108AB" w:rsidP="00E13E9C">
            <w:pPr>
              <w:rPr>
                <w:b/>
              </w:rPr>
            </w:pPr>
            <w:r w:rsidRPr="00E13E9C">
              <w:rPr>
                <w:b/>
              </w:rPr>
              <w:t xml:space="preserve">и удержанных налогов </w:t>
            </w:r>
          </w:p>
          <w:p w:rsidR="008C0010" w:rsidRPr="00E13E9C" w:rsidRDefault="008C0010" w:rsidP="00E13E9C">
            <w:pPr>
              <w:autoSpaceDE w:val="0"/>
              <w:autoSpaceDN w:val="0"/>
              <w:adjustRightInd w:val="0"/>
              <w:rPr>
                <w:rFonts w:eastAsia="FranklinGothicBookITC-Regular"/>
                <w:b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6A8" w:rsidRPr="00254A0F" w:rsidRDefault="000108AB" w:rsidP="000108AB">
            <w:pPr>
              <w:jc w:val="both"/>
              <w:rPr>
                <w:rFonts w:eastAsia="CharterITC-Italic"/>
                <w:iCs/>
              </w:rPr>
            </w:pPr>
            <w:r>
              <w:t xml:space="preserve">Налоговые агенты по итогам отчетного периода обязаны представлять в налоговый орган информацию о суммах выплаченных иностранным организациям доходов и удержанных налогов по новой форме, учитывающей последние изменения НК РФ. В статье советника Управления налогообложения юридических лиц ФНС России </w:t>
            </w:r>
            <w:r w:rsidRPr="000108AB">
              <w:rPr>
                <w:b/>
              </w:rPr>
              <w:t>О.Ю. Андреевой</w:t>
            </w:r>
            <w:r>
              <w:rPr>
                <w:b/>
              </w:rPr>
              <w:t xml:space="preserve"> </w:t>
            </w:r>
            <w:r>
              <w:t>рассматриваются особенности данной формы и порядок ее заполнения.</w:t>
            </w:r>
          </w:p>
        </w:tc>
      </w:tr>
      <w:tr w:rsidR="00254A0F" w:rsidRPr="00254A0F" w:rsidTr="005F0414">
        <w:trPr>
          <w:trHeight w:val="1263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8AB" w:rsidRPr="00E13E9C" w:rsidRDefault="000108AB" w:rsidP="00E13E9C">
            <w:pPr>
              <w:rPr>
                <w:b/>
              </w:rPr>
            </w:pPr>
            <w:r w:rsidRPr="00E13E9C">
              <w:rPr>
                <w:b/>
              </w:rPr>
              <w:t>Предоставление имущественного налогового вычета при покупке жилья: спорные ситуации</w:t>
            </w:r>
          </w:p>
          <w:p w:rsidR="000108AB" w:rsidRPr="00E13E9C" w:rsidRDefault="000108AB" w:rsidP="00E13E9C">
            <w:pPr>
              <w:rPr>
                <w:b/>
              </w:rPr>
            </w:pPr>
          </w:p>
          <w:p w:rsidR="006F5EB3" w:rsidRPr="00E13E9C" w:rsidRDefault="006F5EB3" w:rsidP="00E13E9C">
            <w:pPr>
              <w:autoSpaceDE w:val="0"/>
              <w:autoSpaceDN w:val="0"/>
              <w:adjustRightInd w:val="0"/>
              <w:rPr>
                <w:rFonts w:eastAsia="FranklinGothicBookITC-Regular"/>
                <w:b/>
              </w:rPr>
            </w:pP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6A8" w:rsidRPr="00254A0F" w:rsidRDefault="000108AB" w:rsidP="000108AB">
            <w:pPr>
              <w:jc w:val="both"/>
              <w:rPr>
                <w:rFonts w:eastAsia="FranklinGothicDemiITC-Regular"/>
              </w:rPr>
            </w:pPr>
            <w:r>
              <w:t xml:space="preserve">Рассматриваются особенности реализации права на имущественный вычет при приобретении жилья в следующих случаях: если налогоплательщик является военнослужащим — участником накопительно-ипотечной системы; если жилье приобретено по договору с ЖСК, в рассрочку; если оно принято по наследству и находится под обременением — ипотекой. Автор: </w:t>
            </w:r>
            <w:r w:rsidRPr="000108AB">
              <w:rPr>
                <w:b/>
              </w:rPr>
              <w:t>Е.В. Тарасова</w:t>
            </w:r>
            <w:r>
              <w:t>, заместитель начальника Управления досудебного урегулирования налоговых споров ФНС России.</w:t>
            </w:r>
          </w:p>
        </w:tc>
      </w:tr>
      <w:tr w:rsidR="00254A0F" w:rsidRPr="00254A0F" w:rsidTr="00254A0F">
        <w:trPr>
          <w:trHeight w:val="1438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A9B" w:rsidRPr="00E13E9C" w:rsidRDefault="000108AB" w:rsidP="00E13E9C">
            <w:pPr>
              <w:rPr>
                <w:rFonts w:eastAsia="FranklinGothicBookITC-Regular"/>
                <w:b/>
              </w:rPr>
            </w:pPr>
            <w:r w:rsidRPr="00E13E9C">
              <w:rPr>
                <w:b/>
              </w:rPr>
              <w:t>Налог на прибыль: сложные вопросы, связанные с выплатой дивидендов и совершением операций с ценными бумагами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6A8" w:rsidRPr="00254A0F" w:rsidRDefault="000108AB" w:rsidP="00E13E9C">
            <w:pPr>
              <w:jc w:val="both"/>
              <w:rPr>
                <w:rFonts w:eastAsia="CharterITC-Italic"/>
                <w:iCs/>
              </w:rPr>
            </w:pPr>
            <w:r w:rsidRPr="00D55C92">
              <w:t>Разъяснения участникам вебинара, организованного редакцией</w:t>
            </w:r>
            <w:r>
              <w:t xml:space="preserve"> </w:t>
            </w:r>
            <w:r w:rsidRPr="00D55C92">
              <w:t>журнала «Налоговая политика и практика» совместно с компанией</w:t>
            </w:r>
            <w:r>
              <w:t xml:space="preserve"> </w:t>
            </w:r>
            <w:r w:rsidRPr="00D55C92">
              <w:t>«Такском», дал начальник отдела налога на прибыль Управления</w:t>
            </w:r>
            <w:r>
              <w:t xml:space="preserve"> </w:t>
            </w:r>
            <w:r w:rsidRPr="00D55C92">
              <w:t xml:space="preserve">налогообложения юридических лиц ФНС России </w:t>
            </w:r>
            <w:r w:rsidRPr="000108AB">
              <w:rPr>
                <w:b/>
              </w:rPr>
              <w:t>А.Ю. Коньков.</w:t>
            </w:r>
          </w:p>
        </w:tc>
      </w:tr>
    </w:tbl>
    <w:p w:rsidR="00026F4D" w:rsidRPr="00254A0F" w:rsidRDefault="00026F4D" w:rsidP="005F0414">
      <w:pPr>
        <w:jc w:val="both"/>
      </w:pPr>
    </w:p>
    <w:sectPr w:rsidR="00026F4D" w:rsidRPr="00254A0F" w:rsidSect="007E039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GothicDemiITC">
    <w:panose1 w:val="00000000000000000000"/>
    <w:charset w:val="00"/>
    <w:family w:val="swiss"/>
    <w:notTrueType/>
    <w:pitch w:val="variable"/>
    <w:sig w:usb0="00000207" w:usb1="00000000" w:usb2="00000000" w:usb3="00000000" w:csb0="00000097" w:csb1="00000000"/>
  </w:font>
  <w:font w:name="FranklinGothicBookITC">
    <w:altName w:val="Arial"/>
    <w:panose1 w:val="00000000000000000000"/>
    <w:charset w:val="00"/>
    <w:family w:val="swiss"/>
    <w:notTrueType/>
    <w:pitch w:val="variable"/>
    <w:sig w:usb0="00000001" w:usb1="5000604A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GothicMediumITC">
    <w:altName w:val="Arial"/>
    <w:panose1 w:val="00000000000000000000"/>
    <w:charset w:val="00"/>
    <w:family w:val="swiss"/>
    <w:notTrueType/>
    <w:pitch w:val="variable"/>
    <w:sig w:usb0="00000001" w:usb1="5000604A" w:usb2="00000000" w:usb3="00000000" w:csb0="00000097" w:csb1="00000000"/>
  </w:font>
  <w:font w:name="CharterITC">
    <w:altName w:val="CharterIT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GothicBookITC-Regular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harterITC-Italic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FranklinGothicDemiITC-Regular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stylePaneFormatFilter w:val="3F01"/>
  <w:defaultTabStop w:val="708"/>
  <w:characterSpacingControl w:val="doNotCompress"/>
  <w:compat/>
  <w:rsids>
    <w:rsidRoot w:val="00FE0DBE"/>
    <w:rsid w:val="0000483E"/>
    <w:rsid w:val="00006290"/>
    <w:rsid w:val="000108AB"/>
    <w:rsid w:val="000119EC"/>
    <w:rsid w:val="000138B0"/>
    <w:rsid w:val="00016A93"/>
    <w:rsid w:val="00026F4D"/>
    <w:rsid w:val="000301DE"/>
    <w:rsid w:val="00033C28"/>
    <w:rsid w:val="00033EE5"/>
    <w:rsid w:val="00040288"/>
    <w:rsid w:val="00040C6D"/>
    <w:rsid w:val="00054372"/>
    <w:rsid w:val="00064948"/>
    <w:rsid w:val="000740BE"/>
    <w:rsid w:val="00083A14"/>
    <w:rsid w:val="00085E0B"/>
    <w:rsid w:val="00092C0D"/>
    <w:rsid w:val="000A0905"/>
    <w:rsid w:val="000A575C"/>
    <w:rsid w:val="000A6CFB"/>
    <w:rsid w:val="000A6DD3"/>
    <w:rsid w:val="000B0DF6"/>
    <w:rsid w:val="000C20AC"/>
    <w:rsid w:val="000D012E"/>
    <w:rsid w:val="000F27A9"/>
    <w:rsid w:val="000F38DA"/>
    <w:rsid w:val="001319D2"/>
    <w:rsid w:val="00146B58"/>
    <w:rsid w:val="00156DCC"/>
    <w:rsid w:val="00162127"/>
    <w:rsid w:val="00167370"/>
    <w:rsid w:val="00176DD7"/>
    <w:rsid w:val="00180860"/>
    <w:rsid w:val="00190B9C"/>
    <w:rsid w:val="001A5037"/>
    <w:rsid w:val="001A613B"/>
    <w:rsid w:val="001A641B"/>
    <w:rsid w:val="001B73E0"/>
    <w:rsid w:val="001C0396"/>
    <w:rsid w:val="001C11CC"/>
    <w:rsid w:val="001C6722"/>
    <w:rsid w:val="001D16AC"/>
    <w:rsid w:val="001D2CE2"/>
    <w:rsid w:val="001D4C79"/>
    <w:rsid w:val="00242BF6"/>
    <w:rsid w:val="0024357C"/>
    <w:rsid w:val="002456E8"/>
    <w:rsid w:val="00254A0F"/>
    <w:rsid w:val="002659A8"/>
    <w:rsid w:val="0027290E"/>
    <w:rsid w:val="00281A64"/>
    <w:rsid w:val="00281B14"/>
    <w:rsid w:val="00282F65"/>
    <w:rsid w:val="0029087D"/>
    <w:rsid w:val="00296812"/>
    <w:rsid w:val="002A4B35"/>
    <w:rsid w:val="002B36A8"/>
    <w:rsid w:val="002B3A67"/>
    <w:rsid w:val="002B51BF"/>
    <w:rsid w:val="002B55C5"/>
    <w:rsid w:val="002D333F"/>
    <w:rsid w:val="002D599E"/>
    <w:rsid w:val="002F0E3C"/>
    <w:rsid w:val="002F1521"/>
    <w:rsid w:val="002F4223"/>
    <w:rsid w:val="002F5844"/>
    <w:rsid w:val="002F5D88"/>
    <w:rsid w:val="002F67A0"/>
    <w:rsid w:val="00304022"/>
    <w:rsid w:val="00311F6A"/>
    <w:rsid w:val="003217F9"/>
    <w:rsid w:val="00330C76"/>
    <w:rsid w:val="00342B15"/>
    <w:rsid w:val="00361E9A"/>
    <w:rsid w:val="00370A13"/>
    <w:rsid w:val="0037107C"/>
    <w:rsid w:val="00373142"/>
    <w:rsid w:val="003852D1"/>
    <w:rsid w:val="0039237D"/>
    <w:rsid w:val="003947EF"/>
    <w:rsid w:val="003B1112"/>
    <w:rsid w:val="003D13AF"/>
    <w:rsid w:val="003D198D"/>
    <w:rsid w:val="003D2166"/>
    <w:rsid w:val="003D57C4"/>
    <w:rsid w:val="003D5F9F"/>
    <w:rsid w:val="003E0141"/>
    <w:rsid w:val="003F0A96"/>
    <w:rsid w:val="00404E93"/>
    <w:rsid w:val="004064F3"/>
    <w:rsid w:val="004067B7"/>
    <w:rsid w:val="00413921"/>
    <w:rsid w:val="004171BB"/>
    <w:rsid w:val="00426E85"/>
    <w:rsid w:val="00430B2B"/>
    <w:rsid w:val="00432F75"/>
    <w:rsid w:val="004353C7"/>
    <w:rsid w:val="004358CB"/>
    <w:rsid w:val="00445D96"/>
    <w:rsid w:val="00446CF2"/>
    <w:rsid w:val="00461B89"/>
    <w:rsid w:val="004622A9"/>
    <w:rsid w:val="00466126"/>
    <w:rsid w:val="004705CB"/>
    <w:rsid w:val="0047680A"/>
    <w:rsid w:val="00484FA0"/>
    <w:rsid w:val="00493106"/>
    <w:rsid w:val="00495FAA"/>
    <w:rsid w:val="004A61B6"/>
    <w:rsid w:val="004B53EF"/>
    <w:rsid w:val="004B58B2"/>
    <w:rsid w:val="004C2D1F"/>
    <w:rsid w:val="004D1748"/>
    <w:rsid w:val="004D2C54"/>
    <w:rsid w:val="004D60BF"/>
    <w:rsid w:val="004E5303"/>
    <w:rsid w:val="004E7A90"/>
    <w:rsid w:val="00523415"/>
    <w:rsid w:val="00527B8A"/>
    <w:rsid w:val="00530901"/>
    <w:rsid w:val="00530FD5"/>
    <w:rsid w:val="00554443"/>
    <w:rsid w:val="005751C7"/>
    <w:rsid w:val="005770A6"/>
    <w:rsid w:val="005904AD"/>
    <w:rsid w:val="005A0048"/>
    <w:rsid w:val="005A507D"/>
    <w:rsid w:val="005A59FD"/>
    <w:rsid w:val="005A6532"/>
    <w:rsid w:val="005C22BF"/>
    <w:rsid w:val="005C4C61"/>
    <w:rsid w:val="005D476F"/>
    <w:rsid w:val="005E01DB"/>
    <w:rsid w:val="005E050A"/>
    <w:rsid w:val="005E05C6"/>
    <w:rsid w:val="005E34BB"/>
    <w:rsid w:val="005E643D"/>
    <w:rsid w:val="005F037D"/>
    <w:rsid w:val="005F0414"/>
    <w:rsid w:val="005F233E"/>
    <w:rsid w:val="005F2571"/>
    <w:rsid w:val="00600C45"/>
    <w:rsid w:val="00601764"/>
    <w:rsid w:val="00603C98"/>
    <w:rsid w:val="006053A7"/>
    <w:rsid w:val="006119BC"/>
    <w:rsid w:val="006234B6"/>
    <w:rsid w:val="00647001"/>
    <w:rsid w:val="00650700"/>
    <w:rsid w:val="00654369"/>
    <w:rsid w:val="00663E8D"/>
    <w:rsid w:val="00664A9B"/>
    <w:rsid w:val="00681641"/>
    <w:rsid w:val="00686D83"/>
    <w:rsid w:val="00687368"/>
    <w:rsid w:val="00687A02"/>
    <w:rsid w:val="00691136"/>
    <w:rsid w:val="00693B40"/>
    <w:rsid w:val="00695B30"/>
    <w:rsid w:val="006A11B0"/>
    <w:rsid w:val="006A4950"/>
    <w:rsid w:val="006A74DC"/>
    <w:rsid w:val="006B3953"/>
    <w:rsid w:val="006C0D44"/>
    <w:rsid w:val="006C4B7E"/>
    <w:rsid w:val="006D1020"/>
    <w:rsid w:val="006D1A0A"/>
    <w:rsid w:val="006D5E33"/>
    <w:rsid w:val="006E16F3"/>
    <w:rsid w:val="006E341E"/>
    <w:rsid w:val="006E4D8D"/>
    <w:rsid w:val="006E6A83"/>
    <w:rsid w:val="006F5EB3"/>
    <w:rsid w:val="00700A85"/>
    <w:rsid w:val="0070100E"/>
    <w:rsid w:val="00705A9A"/>
    <w:rsid w:val="00712898"/>
    <w:rsid w:val="00722F91"/>
    <w:rsid w:val="00726882"/>
    <w:rsid w:val="00732FF6"/>
    <w:rsid w:val="00734AC3"/>
    <w:rsid w:val="00742ED2"/>
    <w:rsid w:val="00747986"/>
    <w:rsid w:val="0075582F"/>
    <w:rsid w:val="007955AE"/>
    <w:rsid w:val="007961E7"/>
    <w:rsid w:val="007C7ACB"/>
    <w:rsid w:val="007C7BC5"/>
    <w:rsid w:val="007D4C36"/>
    <w:rsid w:val="007D71E1"/>
    <w:rsid w:val="007E0167"/>
    <w:rsid w:val="007E0396"/>
    <w:rsid w:val="007E5736"/>
    <w:rsid w:val="007F6900"/>
    <w:rsid w:val="00834189"/>
    <w:rsid w:val="0084739C"/>
    <w:rsid w:val="00852171"/>
    <w:rsid w:val="00870A5C"/>
    <w:rsid w:val="00876A84"/>
    <w:rsid w:val="008774EB"/>
    <w:rsid w:val="00883E18"/>
    <w:rsid w:val="00885E7E"/>
    <w:rsid w:val="00887C3E"/>
    <w:rsid w:val="0089089F"/>
    <w:rsid w:val="00891977"/>
    <w:rsid w:val="008A3F40"/>
    <w:rsid w:val="008A5311"/>
    <w:rsid w:val="008B0609"/>
    <w:rsid w:val="008B511C"/>
    <w:rsid w:val="008B7ABD"/>
    <w:rsid w:val="008C0010"/>
    <w:rsid w:val="008C7763"/>
    <w:rsid w:val="008D1EDC"/>
    <w:rsid w:val="008D6F74"/>
    <w:rsid w:val="008E4310"/>
    <w:rsid w:val="00900E49"/>
    <w:rsid w:val="00905E6A"/>
    <w:rsid w:val="00916654"/>
    <w:rsid w:val="00916AF9"/>
    <w:rsid w:val="0092583A"/>
    <w:rsid w:val="009272F9"/>
    <w:rsid w:val="00933E96"/>
    <w:rsid w:val="00937705"/>
    <w:rsid w:val="009517D4"/>
    <w:rsid w:val="00960D56"/>
    <w:rsid w:val="009610A5"/>
    <w:rsid w:val="00964E95"/>
    <w:rsid w:val="0098359B"/>
    <w:rsid w:val="0098684E"/>
    <w:rsid w:val="009A058E"/>
    <w:rsid w:val="009A7CF0"/>
    <w:rsid w:val="009B1415"/>
    <w:rsid w:val="009B1DC6"/>
    <w:rsid w:val="009B3E2D"/>
    <w:rsid w:val="009C6894"/>
    <w:rsid w:val="009F0123"/>
    <w:rsid w:val="009F5AAE"/>
    <w:rsid w:val="009F7C73"/>
    <w:rsid w:val="00A309DE"/>
    <w:rsid w:val="00A359FB"/>
    <w:rsid w:val="00A41F62"/>
    <w:rsid w:val="00A4496C"/>
    <w:rsid w:val="00A57AE9"/>
    <w:rsid w:val="00A73E09"/>
    <w:rsid w:val="00A9603A"/>
    <w:rsid w:val="00AA4359"/>
    <w:rsid w:val="00AB09D1"/>
    <w:rsid w:val="00AC576F"/>
    <w:rsid w:val="00AC631F"/>
    <w:rsid w:val="00AF1202"/>
    <w:rsid w:val="00AF2ECD"/>
    <w:rsid w:val="00AF441F"/>
    <w:rsid w:val="00B1368C"/>
    <w:rsid w:val="00B150EF"/>
    <w:rsid w:val="00B25217"/>
    <w:rsid w:val="00B25EE2"/>
    <w:rsid w:val="00B26F14"/>
    <w:rsid w:val="00B404B9"/>
    <w:rsid w:val="00B41686"/>
    <w:rsid w:val="00B446DE"/>
    <w:rsid w:val="00B51770"/>
    <w:rsid w:val="00B54563"/>
    <w:rsid w:val="00B6099B"/>
    <w:rsid w:val="00B656CF"/>
    <w:rsid w:val="00B80834"/>
    <w:rsid w:val="00B8399C"/>
    <w:rsid w:val="00B870D4"/>
    <w:rsid w:val="00BA11D5"/>
    <w:rsid w:val="00BA1D59"/>
    <w:rsid w:val="00BA2A70"/>
    <w:rsid w:val="00BA3040"/>
    <w:rsid w:val="00BC1342"/>
    <w:rsid w:val="00BC7B0F"/>
    <w:rsid w:val="00BD3687"/>
    <w:rsid w:val="00BD39B1"/>
    <w:rsid w:val="00BD7001"/>
    <w:rsid w:val="00BD753F"/>
    <w:rsid w:val="00BE6FBB"/>
    <w:rsid w:val="00BE7168"/>
    <w:rsid w:val="00C16514"/>
    <w:rsid w:val="00C22E64"/>
    <w:rsid w:val="00C33296"/>
    <w:rsid w:val="00C36224"/>
    <w:rsid w:val="00C46956"/>
    <w:rsid w:val="00C6503D"/>
    <w:rsid w:val="00C663C5"/>
    <w:rsid w:val="00C74038"/>
    <w:rsid w:val="00C76FB5"/>
    <w:rsid w:val="00C81571"/>
    <w:rsid w:val="00C87C97"/>
    <w:rsid w:val="00C92A30"/>
    <w:rsid w:val="00C949BB"/>
    <w:rsid w:val="00CA0840"/>
    <w:rsid w:val="00CA4E2A"/>
    <w:rsid w:val="00CA5F74"/>
    <w:rsid w:val="00CB776F"/>
    <w:rsid w:val="00CD1C7D"/>
    <w:rsid w:val="00CE3144"/>
    <w:rsid w:val="00CF00AB"/>
    <w:rsid w:val="00CF1454"/>
    <w:rsid w:val="00D07FC4"/>
    <w:rsid w:val="00D10838"/>
    <w:rsid w:val="00D13065"/>
    <w:rsid w:val="00D434AB"/>
    <w:rsid w:val="00D50035"/>
    <w:rsid w:val="00D50F64"/>
    <w:rsid w:val="00D5536F"/>
    <w:rsid w:val="00D651C4"/>
    <w:rsid w:val="00D76C79"/>
    <w:rsid w:val="00D774D4"/>
    <w:rsid w:val="00D85C32"/>
    <w:rsid w:val="00D87D52"/>
    <w:rsid w:val="00DA500B"/>
    <w:rsid w:val="00DB200B"/>
    <w:rsid w:val="00DB298A"/>
    <w:rsid w:val="00DC4BC6"/>
    <w:rsid w:val="00DE2DFA"/>
    <w:rsid w:val="00DE48D1"/>
    <w:rsid w:val="00DE7088"/>
    <w:rsid w:val="00E13E9C"/>
    <w:rsid w:val="00E21E3B"/>
    <w:rsid w:val="00E221A4"/>
    <w:rsid w:val="00E229FF"/>
    <w:rsid w:val="00E31FBB"/>
    <w:rsid w:val="00E57BB9"/>
    <w:rsid w:val="00E625A1"/>
    <w:rsid w:val="00E70E66"/>
    <w:rsid w:val="00E83691"/>
    <w:rsid w:val="00E86064"/>
    <w:rsid w:val="00E922CD"/>
    <w:rsid w:val="00EA3054"/>
    <w:rsid w:val="00EB0AD0"/>
    <w:rsid w:val="00EB49D9"/>
    <w:rsid w:val="00EC020B"/>
    <w:rsid w:val="00EE07C5"/>
    <w:rsid w:val="00EF048E"/>
    <w:rsid w:val="00F0013D"/>
    <w:rsid w:val="00F06931"/>
    <w:rsid w:val="00F13892"/>
    <w:rsid w:val="00F21D3F"/>
    <w:rsid w:val="00F365F2"/>
    <w:rsid w:val="00F3674C"/>
    <w:rsid w:val="00F53970"/>
    <w:rsid w:val="00F55D1E"/>
    <w:rsid w:val="00F75783"/>
    <w:rsid w:val="00F81D09"/>
    <w:rsid w:val="00F82CD9"/>
    <w:rsid w:val="00F86EC6"/>
    <w:rsid w:val="00F9289D"/>
    <w:rsid w:val="00F93FBE"/>
    <w:rsid w:val="00FA3C80"/>
    <w:rsid w:val="00FB3C0F"/>
    <w:rsid w:val="00FB6523"/>
    <w:rsid w:val="00FD2C2D"/>
    <w:rsid w:val="00FD6C64"/>
    <w:rsid w:val="00FD6DD7"/>
    <w:rsid w:val="00FE0DBE"/>
    <w:rsid w:val="00FE7EC4"/>
    <w:rsid w:val="00FF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9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0DBE"/>
    <w:rPr>
      <w:color w:val="0000FF"/>
      <w:u w:val="single"/>
    </w:rPr>
  </w:style>
  <w:style w:type="table" w:styleId="a4">
    <w:name w:val="Table Grid"/>
    <w:basedOn w:val="a1"/>
    <w:rsid w:val="00FE0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0break">
    <w:name w:val="100%_break"/>
    <w:rsid w:val="00876A84"/>
    <w:rPr>
      <w:w w:val="100"/>
    </w:rPr>
  </w:style>
  <w:style w:type="character" w:customStyle="1" w:styleId="contentannualname">
    <w:name w:val="content_annual_name"/>
    <w:uiPriority w:val="99"/>
    <w:rsid w:val="004353C7"/>
    <w:rPr>
      <w:rFonts w:ascii="FranklinGothicDemiITC" w:hAnsi="FranklinGothicDemiITC" w:hint="default"/>
    </w:rPr>
  </w:style>
  <w:style w:type="paragraph" w:customStyle="1" w:styleId="content">
    <w:name w:val="content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60" w:line="240" w:lineRule="atLeast"/>
      <w:textAlignment w:val="center"/>
    </w:pPr>
    <w:rPr>
      <w:rFonts w:ascii="FranklinGothicBookITC" w:eastAsia="Calibri" w:hAnsi="FranklinGothicBookITC" w:cs="FranklinGothicBookITC"/>
      <w:color w:val="000000"/>
      <w:sz w:val="20"/>
      <w:szCs w:val="20"/>
      <w:lang w:eastAsia="en-US"/>
    </w:rPr>
  </w:style>
  <w:style w:type="paragraph" w:customStyle="1" w:styleId="contentsubsection">
    <w:name w:val="content_subsection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240" w:line="300" w:lineRule="atLeast"/>
      <w:textAlignment w:val="center"/>
    </w:pPr>
    <w:rPr>
      <w:rFonts w:ascii="FranklinGothicDemiITC" w:eastAsia="Calibri" w:hAnsi="FranklinGothicDemiITC" w:cs="FranklinGothicDemiITC"/>
      <w:color w:val="316988"/>
      <w:sz w:val="22"/>
      <w:szCs w:val="22"/>
      <w:lang w:eastAsia="en-US"/>
    </w:rPr>
  </w:style>
  <w:style w:type="paragraph" w:customStyle="1" w:styleId="pagenumbercolor">
    <w:name w:val="page_number_color"/>
    <w:basedOn w:val="a"/>
    <w:uiPriority w:val="99"/>
    <w:rsid w:val="00742ED2"/>
    <w:pPr>
      <w:keepLines/>
      <w:tabs>
        <w:tab w:val="right" w:pos="720"/>
        <w:tab w:val="left" w:pos="960"/>
      </w:tabs>
      <w:autoSpaceDE w:val="0"/>
      <w:autoSpaceDN w:val="0"/>
      <w:adjustRightInd w:val="0"/>
      <w:spacing w:before="60" w:line="240" w:lineRule="atLeast"/>
      <w:ind w:right="100"/>
      <w:jc w:val="right"/>
      <w:textAlignment w:val="center"/>
    </w:pPr>
    <w:rPr>
      <w:rFonts w:ascii="FranklinGothicMediumITC" w:eastAsia="Calibri" w:hAnsi="FranklinGothicMediumITC" w:cs="FranklinGothicMediumITC"/>
      <w:color w:val="000000"/>
      <w:spacing w:val="2"/>
      <w:sz w:val="18"/>
      <w:szCs w:val="18"/>
      <w:lang w:eastAsia="en-US"/>
    </w:rPr>
  </w:style>
  <w:style w:type="paragraph" w:customStyle="1" w:styleId="Default">
    <w:name w:val="Default"/>
    <w:rsid w:val="000F27A9"/>
    <w:pPr>
      <w:autoSpaceDE w:val="0"/>
      <w:autoSpaceDN w:val="0"/>
      <w:adjustRightInd w:val="0"/>
    </w:pPr>
    <w:rPr>
      <w:rFonts w:ascii="FranklinGothicBookITC" w:eastAsia="Calibri" w:hAnsi="FranklinGothicBookITC" w:cs="FranklinGothicBookITC"/>
      <w:color w:val="000000"/>
      <w:sz w:val="24"/>
      <w:szCs w:val="24"/>
      <w:lang w:eastAsia="en-US"/>
    </w:rPr>
  </w:style>
  <w:style w:type="paragraph" w:customStyle="1" w:styleId="Pa18">
    <w:name w:val="Pa18"/>
    <w:basedOn w:val="Default"/>
    <w:next w:val="Default"/>
    <w:uiPriority w:val="99"/>
    <w:rsid w:val="000F27A9"/>
    <w:pPr>
      <w:spacing w:line="20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0F27A9"/>
    <w:rPr>
      <w:rFonts w:ascii="CharterITC" w:hAnsi="CharterITC" w:cs="CharterITC"/>
      <w:i/>
      <w:iCs/>
      <w:color w:val="306889"/>
      <w:sz w:val="17"/>
      <w:szCs w:val="17"/>
    </w:rPr>
  </w:style>
  <w:style w:type="paragraph" w:styleId="a5">
    <w:name w:val="No Spacing"/>
    <w:uiPriority w:val="1"/>
    <w:qFormat/>
    <w:rsid w:val="00BD3687"/>
    <w:rPr>
      <w:sz w:val="24"/>
      <w:szCs w:val="24"/>
    </w:rPr>
  </w:style>
  <w:style w:type="character" w:styleId="a6">
    <w:name w:val="FollowedHyperlink"/>
    <w:basedOn w:val="a0"/>
    <w:rsid w:val="00852171"/>
    <w:rPr>
      <w:color w:val="954F72" w:themeColor="followedHyperlink"/>
      <w:u w:val="single"/>
    </w:rPr>
  </w:style>
  <w:style w:type="paragraph" w:styleId="a8">
    <w:name w:val="Balloon Text"/>
    <w:basedOn w:val="a"/>
    <w:link w:val="a9"/>
    <w:rsid w:val="00734A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34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hyperlink" Target="mailto:info@nalogkodek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nalogkodeks.ru/" TargetMode="External"/><Relationship Id="rId5" Type="http://schemas.openxmlformats.org/officeDocument/2006/relationships/hyperlink" Target="http://nalogkodeks.ru/" TargetMode="External"/><Relationship Id="rId10" Type="http://schemas.openxmlformats.org/officeDocument/2006/relationships/hyperlink" Target="http://www.nalogkodek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kodeks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Небеса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Небеса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Celestial" id="{C4BB2A3D-0E93-4C5F-B0D2-9D3FCE089CC5}" vid="{42E5908D-19A2-46FD-89FA-638B126129E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32844-883E-4789-B124-C73590D4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2965</CharactersWithSpaces>
  <SharedDoc>false</SharedDoc>
  <HLinks>
    <vt:vector size="24" baseType="variant">
      <vt:variant>
        <vt:i4>1835045</vt:i4>
      </vt:variant>
      <vt:variant>
        <vt:i4>9</vt:i4>
      </vt:variant>
      <vt:variant>
        <vt:i4>0</vt:i4>
      </vt:variant>
      <vt:variant>
        <vt:i4>5</vt:i4>
      </vt:variant>
      <vt:variant>
        <vt:lpwstr>mailto:info@nalogkodeks.ru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http://www.nalogkodeks.ru/</vt:lpwstr>
      </vt:variant>
      <vt:variant>
        <vt:lpwstr/>
      </vt:variant>
      <vt:variant>
        <vt:i4>6946913</vt:i4>
      </vt:variant>
      <vt:variant>
        <vt:i4>3</vt:i4>
      </vt:variant>
      <vt:variant>
        <vt:i4>0</vt:i4>
      </vt:variant>
      <vt:variant>
        <vt:i4>5</vt:i4>
      </vt:variant>
      <vt:variant>
        <vt:lpwstr>http://www.nalogkodeks.ru/</vt:lpwstr>
      </vt:variant>
      <vt:variant>
        <vt:lpwstr/>
      </vt:variant>
      <vt:variant>
        <vt:i4>3604538</vt:i4>
      </vt:variant>
      <vt:variant>
        <vt:i4>0</vt:i4>
      </vt:variant>
      <vt:variant>
        <vt:i4>0</vt:i4>
      </vt:variant>
      <vt:variant>
        <vt:i4>5</vt:i4>
      </vt:variant>
      <vt:variant>
        <vt:lpwstr>http://www.nalogkodeks/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0003-00-161</cp:lastModifiedBy>
  <cp:revision>2</cp:revision>
  <dcterms:created xsi:type="dcterms:W3CDTF">2016-06-01T08:50:00Z</dcterms:created>
  <dcterms:modified xsi:type="dcterms:W3CDTF">2016-06-01T08:50:00Z</dcterms:modified>
</cp:coreProperties>
</file>