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9C0" w:rsidRDefault="00B159C0" w:rsidP="00B44199">
      <w:pPr>
        <w:spacing w:after="0" w:line="240" w:lineRule="auto"/>
        <w:jc w:val="center"/>
        <w:rPr>
          <w:rFonts w:ascii="Times New Roman" w:hAnsi="Times New Roman"/>
          <w:b/>
          <w:sz w:val="24"/>
          <w:szCs w:val="24"/>
        </w:rPr>
      </w:pPr>
      <w:bookmarkStart w:id="0" w:name="_GoBack"/>
      <w:r w:rsidRPr="000574E6">
        <w:rPr>
          <w:rFonts w:ascii="Times New Roman" w:hAnsi="Times New Roman"/>
          <w:b/>
          <w:sz w:val="24"/>
          <w:szCs w:val="24"/>
        </w:rPr>
        <w:t xml:space="preserve">Перечень государственных услуг, </w:t>
      </w:r>
      <w:r w:rsidR="00B44199">
        <w:rPr>
          <w:rFonts w:ascii="Times New Roman" w:hAnsi="Times New Roman"/>
          <w:b/>
          <w:sz w:val="24"/>
          <w:szCs w:val="24"/>
        </w:rPr>
        <w:br/>
      </w:r>
      <w:r w:rsidRPr="000574E6">
        <w:rPr>
          <w:rFonts w:ascii="Times New Roman" w:hAnsi="Times New Roman"/>
          <w:b/>
          <w:sz w:val="24"/>
          <w:szCs w:val="24"/>
        </w:rPr>
        <w:t>предоставляемых в соответствии с Соглашением</w:t>
      </w:r>
      <w:r w:rsidR="00B44199" w:rsidRPr="00B44199">
        <w:rPr>
          <w:rFonts w:ascii="Times New Roman" w:hAnsi="Times New Roman"/>
          <w:b/>
          <w:sz w:val="24"/>
          <w:szCs w:val="24"/>
        </w:rPr>
        <w:t xml:space="preserve"> </w:t>
      </w:r>
      <w:r w:rsidR="00B44199" w:rsidRPr="00B44199">
        <w:rPr>
          <w:rFonts w:ascii="Times New Roman" w:hAnsi="Times New Roman"/>
          <w:b/>
          <w:sz w:val="24"/>
          <w:szCs w:val="24"/>
        </w:rPr>
        <w:t>о взаимодействии между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и Управлением Федеральной налоговой службы по Новосибирской области</w:t>
      </w:r>
      <w:r w:rsidR="00B44199" w:rsidRPr="00B44199">
        <w:rPr>
          <w:rFonts w:ascii="Times New Roman" w:hAnsi="Times New Roman"/>
          <w:b/>
          <w:sz w:val="24"/>
          <w:szCs w:val="24"/>
        </w:rPr>
        <w:t xml:space="preserve"> </w:t>
      </w:r>
      <w:r w:rsidR="00B44199" w:rsidRPr="00B44199">
        <w:rPr>
          <w:rFonts w:ascii="Times New Roman" w:hAnsi="Times New Roman"/>
          <w:b/>
          <w:sz w:val="24"/>
          <w:szCs w:val="24"/>
        </w:rPr>
        <w:t>от 28.12.2024 № 3С</w:t>
      </w:r>
    </w:p>
    <w:bookmarkEnd w:id="0"/>
    <w:p w:rsidR="00B159C0" w:rsidRPr="000574E6" w:rsidRDefault="00B159C0" w:rsidP="00B159C0">
      <w:pPr>
        <w:spacing w:after="0" w:line="240" w:lineRule="auto"/>
        <w:jc w:val="center"/>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9599"/>
      </w:tblGrid>
      <w:tr w:rsidR="00B159C0" w:rsidRPr="00C13409" w:rsidTr="00B44199">
        <w:trPr>
          <w:trHeight w:val="506"/>
        </w:trPr>
        <w:tc>
          <w:tcPr>
            <w:tcW w:w="574" w:type="dxa"/>
            <w:shd w:val="clear" w:color="auto" w:fill="auto"/>
          </w:tcPr>
          <w:p w:rsidR="00B159C0" w:rsidRPr="00C13409" w:rsidRDefault="00B159C0" w:rsidP="009566D6">
            <w:pPr>
              <w:spacing w:after="0" w:line="240" w:lineRule="auto"/>
              <w:jc w:val="center"/>
              <w:rPr>
                <w:rFonts w:ascii="Times New Roman" w:hAnsi="Times New Roman"/>
                <w:b/>
                <w:sz w:val="23"/>
                <w:szCs w:val="23"/>
              </w:rPr>
            </w:pPr>
            <w:r w:rsidRPr="00C13409">
              <w:rPr>
                <w:rFonts w:ascii="Times New Roman" w:hAnsi="Times New Roman"/>
                <w:b/>
                <w:sz w:val="23"/>
                <w:szCs w:val="23"/>
              </w:rPr>
              <w:t>№</w:t>
            </w:r>
          </w:p>
          <w:p w:rsidR="00B159C0" w:rsidRPr="00C13409" w:rsidRDefault="00B159C0" w:rsidP="009566D6">
            <w:pPr>
              <w:spacing w:after="0" w:line="240" w:lineRule="auto"/>
              <w:jc w:val="center"/>
              <w:rPr>
                <w:rFonts w:ascii="Times New Roman" w:hAnsi="Times New Roman"/>
                <w:b/>
                <w:sz w:val="23"/>
                <w:szCs w:val="23"/>
              </w:rPr>
            </w:pPr>
            <w:proofErr w:type="gramStart"/>
            <w:r w:rsidRPr="00C13409">
              <w:rPr>
                <w:rFonts w:ascii="Times New Roman" w:hAnsi="Times New Roman"/>
                <w:b/>
                <w:sz w:val="23"/>
                <w:szCs w:val="23"/>
              </w:rPr>
              <w:t>п</w:t>
            </w:r>
            <w:proofErr w:type="gramEnd"/>
            <w:r w:rsidRPr="00C13409">
              <w:rPr>
                <w:rFonts w:ascii="Times New Roman" w:hAnsi="Times New Roman"/>
                <w:b/>
                <w:sz w:val="23"/>
                <w:szCs w:val="23"/>
              </w:rPr>
              <w:t>/п</w:t>
            </w:r>
          </w:p>
        </w:tc>
        <w:tc>
          <w:tcPr>
            <w:tcW w:w="9599" w:type="dxa"/>
            <w:shd w:val="clear" w:color="auto" w:fill="auto"/>
          </w:tcPr>
          <w:p w:rsidR="00B159C0" w:rsidRPr="00C13409" w:rsidRDefault="00B159C0" w:rsidP="009566D6">
            <w:pPr>
              <w:spacing w:after="0" w:line="240" w:lineRule="auto"/>
              <w:jc w:val="center"/>
              <w:rPr>
                <w:rFonts w:ascii="Times New Roman" w:hAnsi="Times New Roman"/>
                <w:b/>
                <w:sz w:val="23"/>
                <w:szCs w:val="23"/>
              </w:rPr>
            </w:pPr>
            <w:r w:rsidRPr="00C13409">
              <w:rPr>
                <w:rFonts w:ascii="Times New Roman" w:hAnsi="Times New Roman"/>
                <w:b/>
                <w:sz w:val="23"/>
                <w:szCs w:val="23"/>
              </w:rPr>
              <w:t>Наименование государственной услуги</w:t>
            </w:r>
          </w:p>
        </w:tc>
      </w:tr>
      <w:tr w:rsidR="00B159C0" w:rsidRPr="00C13409" w:rsidTr="00B44199">
        <w:trPr>
          <w:trHeight w:val="506"/>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w:t>
            </w:r>
          </w:p>
        </w:tc>
        <w:tc>
          <w:tcPr>
            <w:tcW w:w="9599" w:type="dxa"/>
            <w:tcBorders>
              <w:bottom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rPr>
            </w:pPr>
            <w:r w:rsidRPr="00A5027E">
              <w:rPr>
                <w:rFonts w:ascii="Times New Roman" w:hAnsi="Times New Roman"/>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p>
          <w:p w:rsidR="00B159C0" w:rsidRPr="00A5027E" w:rsidRDefault="00B159C0" w:rsidP="009566D6">
            <w:pPr>
              <w:spacing w:after="0" w:line="240" w:lineRule="auto"/>
              <w:jc w:val="both"/>
              <w:rPr>
                <w:rFonts w:ascii="Times New Roman" w:hAnsi="Times New Roman"/>
                <w:sz w:val="24"/>
                <w:szCs w:val="24"/>
              </w:rPr>
            </w:pPr>
          </w:p>
        </w:tc>
      </w:tr>
      <w:tr w:rsidR="00B159C0" w:rsidRPr="00C13409" w:rsidTr="00B44199">
        <w:trPr>
          <w:trHeight w:val="506"/>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w:t>
            </w:r>
          </w:p>
        </w:tc>
        <w:tc>
          <w:tcPr>
            <w:tcW w:w="9599" w:type="dxa"/>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Предоставление заинтересованным лицам сведений, содержащихся в реестре дисквалифицированных лиц</w:t>
            </w:r>
            <w:proofErr w:type="gramStart"/>
            <w:r w:rsidRPr="00A5027E">
              <w:rPr>
                <w:rFonts w:ascii="Times New Roman" w:hAnsi="Times New Roman"/>
                <w:sz w:val="24"/>
                <w:szCs w:val="24"/>
                <w:vertAlign w:val="superscript"/>
              </w:rPr>
              <w:t>1</w:t>
            </w:r>
            <w:proofErr w:type="gramEnd"/>
          </w:p>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
        </w:tc>
      </w:tr>
      <w:tr w:rsidR="00B159C0" w:rsidRPr="00C13409" w:rsidTr="00B44199">
        <w:trPr>
          <w:trHeight w:val="838"/>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3.</w:t>
            </w:r>
          </w:p>
        </w:tc>
        <w:tc>
          <w:tcPr>
            <w:tcW w:w="9599" w:type="dxa"/>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r w:rsidRPr="00A5027E">
              <w:rPr>
                <w:rFonts w:ascii="Times New Roman" w:hAnsi="Times New Roman"/>
                <w:sz w:val="24"/>
                <w:szCs w:val="24"/>
                <w:vertAlign w:val="superscript"/>
              </w:rPr>
              <w:t>1</w:t>
            </w:r>
          </w:p>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
        </w:tc>
      </w:tr>
      <w:tr w:rsidR="00B159C0" w:rsidRPr="00C13409" w:rsidTr="00B44199">
        <w:trPr>
          <w:trHeight w:val="1272"/>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4.</w:t>
            </w:r>
          </w:p>
        </w:tc>
        <w:tc>
          <w:tcPr>
            <w:tcW w:w="9599" w:type="dxa"/>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Pr="00A5027E">
              <w:rPr>
                <w:rFonts w:ascii="Times New Roman" w:hAnsi="Times New Roman"/>
                <w:sz w:val="24"/>
                <w:szCs w:val="24"/>
                <w:vertAlign w:val="superscript"/>
              </w:rPr>
              <w:t xml:space="preserve"> 1</w:t>
            </w:r>
          </w:p>
          <w:p w:rsidR="00B159C0" w:rsidRPr="00A5027E" w:rsidRDefault="00B159C0" w:rsidP="009566D6">
            <w:pPr>
              <w:autoSpaceDE w:val="0"/>
              <w:autoSpaceDN w:val="0"/>
              <w:adjustRightInd w:val="0"/>
              <w:spacing w:after="0" w:line="240" w:lineRule="auto"/>
              <w:jc w:val="both"/>
              <w:rPr>
                <w:rFonts w:ascii="Times New Roman" w:hAnsi="Times New Roman"/>
                <w:sz w:val="24"/>
                <w:szCs w:val="24"/>
              </w:rPr>
            </w:pPr>
          </w:p>
        </w:tc>
      </w:tr>
      <w:tr w:rsidR="00B159C0" w:rsidRPr="00C13409" w:rsidTr="00B44199">
        <w:trPr>
          <w:trHeight w:val="2272"/>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5.</w:t>
            </w:r>
          </w:p>
        </w:tc>
        <w:tc>
          <w:tcPr>
            <w:tcW w:w="9599" w:type="dxa"/>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roofErr w:type="gramStart"/>
            <w:r w:rsidRPr="00A5027E">
              <w:rPr>
                <w:rFonts w:ascii="Times New Roman" w:hAnsi="Times New Roman"/>
                <w:sz w:val="24"/>
                <w:szCs w:val="24"/>
              </w:rPr>
              <w:t>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w:t>
            </w:r>
            <w:proofErr w:type="gramEnd"/>
            <w:r w:rsidRPr="00A5027E">
              <w:rPr>
                <w:rFonts w:ascii="Times New Roman" w:hAnsi="Times New Roman"/>
                <w:sz w:val="24"/>
                <w:szCs w:val="24"/>
              </w:rPr>
              <w:t xml:space="preserve"> приема запроса и выдачи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A5027E">
              <w:rPr>
                <w:rFonts w:ascii="Times New Roman" w:hAnsi="Times New Roman"/>
                <w:sz w:val="24"/>
                <w:szCs w:val="24"/>
                <w:vertAlign w:val="superscript"/>
              </w:rPr>
              <w:t xml:space="preserve"> 2</w:t>
            </w:r>
          </w:p>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
        </w:tc>
      </w:tr>
      <w:tr w:rsidR="00B159C0" w:rsidRPr="00C13409" w:rsidTr="00B44199">
        <w:trPr>
          <w:trHeight w:val="506"/>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6.</w:t>
            </w:r>
          </w:p>
        </w:tc>
        <w:tc>
          <w:tcPr>
            <w:tcW w:w="9599" w:type="dxa"/>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на предоставление льготы по налогу на имущество физических лиц, земельному и транспортному налогам от физических лиц</w:t>
            </w:r>
            <w:proofErr w:type="gramStart"/>
            <w:r w:rsidRPr="00A5027E">
              <w:rPr>
                <w:rFonts w:ascii="Times New Roman" w:hAnsi="Times New Roman"/>
                <w:sz w:val="24"/>
                <w:szCs w:val="24"/>
                <w:vertAlign w:val="superscript"/>
              </w:rPr>
              <w:t>1</w:t>
            </w:r>
            <w:proofErr w:type="gramEnd"/>
          </w:p>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
        </w:tc>
      </w:tr>
      <w:tr w:rsidR="00B159C0" w:rsidRPr="00C13409" w:rsidTr="00B44199">
        <w:trPr>
          <w:trHeight w:val="637"/>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7.</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roofErr w:type="gramStart"/>
            <w:r w:rsidRPr="00A5027E">
              <w:rPr>
                <w:rFonts w:ascii="Times New Roman" w:hAnsi="Times New Roman"/>
                <w:sz w:val="24"/>
                <w:szCs w:val="24"/>
                <w:vertAlign w:val="superscript"/>
              </w:rPr>
              <w:t>1</w:t>
            </w:r>
            <w:proofErr w:type="gramEnd"/>
          </w:p>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
        </w:tc>
      </w:tr>
      <w:tr w:rsidR="00B159C0" w:rsidRPr="00C13409" w:rsidTr="00B44199">
        <w:trPr>
          <w:trHeight w:val="673"/>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8.</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сообщений о наличии объектов недвижимого имущества и (или) транспортных средствах, признаваемых объектами налогообложения по соответствующим налогам, уплачиваемым физическими лицами</w:t>
            </w:r>
            <w:proofErr w:type="gramStart"/>
            <w:r w:rsidRPr="00A5027E">
              <w:rPr>
                <w:rFonts w:ascii="Times New Roman" w:hAnsi="Times New Roman"/>
                <w:sz w:val="24"/>
                <w:szCs w:val="24"/>
                <w:vertAlign w:val="superscript"/>
              </w:rPr>
              <w:t>1</w:t>
            </w:r>
            <w:proofErr w:type="gramEnd"/>
          </w:p>
          <w:p w:rsidR="00B159C0" w:rsidRPr="00A5027E" w:rsidRDefault="00B159C0" w:rsidP="009566D6">
            <w:pPr>
              <w:autoSpaceDE w:val="0"/>
              <w:autoSpaceDN w:val="0"/>
              <w:adjustRightInd w:val="0"/>
              <w:spacing w:after="0" w:line="240" w:lineRule="auto"/>
              <w:jc w:val="both"/>
              <w:rPr>
                <w:rFonts w:ascii="Times New Roman" w:hAnsi="Times New Roman"/>
                <w:sz w:val="24"/>
                <w:szCs w:val="24"/>
                <w:vertAlign w:val="superscript"/>
              </w:rPr>
            </w:pPr>
          </w:p>
        </w:tc>
      </w:tr>
      <w:tr w:rsidR="00B159C0" w:rsidRPr="00C13409" w:rsidTr="00B44199">
        <w:trPr>
          <w:trHeight w:val="215"/>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9.</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 xml:space="preserve">Прием запроса о предоставлении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(или) </w:t>
            </w:r>
            <w:hyperlink r:id="rId5" w:history="1">
              <w:r w:rsidRPr="00A5027E">
                <w:rPr>
                  <w:rFonts w:ascii="Times New Roman" w:hAnsi="Times New Roman"/>
                  <w:sz w:val="24"/>
                  <w:szCs w:val="24"/>
                </w:rPr>
                <w:t>справки</w:t>
              </w:r>
            </w:hyperlink>
            <w:r w:rsidRPr="00A5027E">
              <w:rPr>
                <w:rFonts w:ascii="Times New Roman" w:hAnsi="Times New Roman"/>
                <w:sz w:val="24"/>
                <w:szCs w:val="24"/>
              </w:rPr>
              <w:t xml:space="preserve">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w:t>
            </w:r>
            <w:proofErr w:type="gramStart"/>
            <w:r w:rsidRPr="00A5027E">
              <w:rPr>
                <w:rFonts w:ascii="Times New Roman" w:hAnsi="Times New Roman"/>
                <w:sz w:val="24"/>
                <w:szCs w:val="24"/>
                <w:vertAlign w:val="superscript"/>
              </w:rPr>
              <w:t>2</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407"/>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10.</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 xml:space="preserve">Прием запроса о предоставлении акта сверки принадлежности сумм денежных средств, перечисленных и (или) признаваемых в качестве единого налогового платежа, либо сумм </w:t>
            </w:r>
            <w:r w:rsidRPr="00A5027E">
              <w:rPr>
                <w:rFonts w:ascii="Times New Roman" w:hAnsi="Times New Roman"/>
                <w:sz w:val="24"/>
                <w:szCs w:val="24"/>
              </w:rPr>
              <w:lastRenderedPageBreak/>
              <w:t>денежных средств, перечисленных не в качестве единого налогового платежа</w:t>
            </w:r>
            <w:proofErr w:type="gramStart"/>
            <w:r w:rsidRPr="00A5027E">
              <w:rPr>
                <w:rFonts w:ascii="Times New Roman" w:hAnsi="Times New Roman"/>
                <w:sz w:val="24"/>
                <w:szCs w:val="24"/>
                <w:vertAlign w:val="superscript"/>
              </w:rPr>
              <w:t>2</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451"/>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lastRenderedPageBreak/>
              <w:t>11.</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 xml:space="preserve">Прием от налогоплательщиков, являющихся физическими лицами, налоговых деклараций по налогу на доходы физических лиц (форма 3-НДФЛ) на бумажном носителе </w:t>
            </w:r>
            <w:r w:rsidRPr="00A5027E">
              <w:rPr>
                <w:rFonts w:ascii="Times New Roman" w:hAnsi="Times New Roman"/>
                <w:sz w:val="24"/>
                <w:szCs w:val="24"/>
                <w:lang w:eastAsia="ru-RU"/>
              </w:rPr>
              <w:t xml:space="preserve">для налогоплательщиков-физических </w:t>
            </w:r>
            <w:r w:rsidRPr="00A5027E">
              <w:rPr>
                <w:rFonts w:ascii="Times New Roman" w:hAnsi="Times New Roman"/>
                <w:sz w:val="24"/>
                <w:szCs w:val="24"/>
              </w:rPr>
              <w:t>лиц</w:t>
            </w:r>
            <w:proofErr w:type="gramStart"/>
            <w:r w:rsidRPr="00A5027E">
              <w:rPr>
                <w:rFonts w:ascii="Times New Roman" w:hAnsi="Times New Roman"/>
                <w:sz w:val="24"/>
                <w:szCs w:val="24"/>
                <w:vertAlign w:val="superscript"/>
              </w:rPr>
              <w:t>2</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12.</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уведомления о выбранном земельном участке, в отношении которого применяется налоговый вычет по земельному налогу</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13.</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14.</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о выдаче налогового уведомления</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15.</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о гибели или уничтожении объекта налогообложения по налогу на имущество физических лиц</w:t>
            </w:r>
            <w:proofErr w:type="gramStart"/>
            <w:r w:rsidRPr="00A5027E">
              <w:rPr>
                <w:rFonts w:ascii="Times New Roman" w:hAnsi="Times New Roman"/>
                <w:sz w:val="24"/>
                <w:szCs w:val="24"/>
                <w:vertAlign w:val="superscript"/>
              </w:rPr>
              <w:t>2</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16.</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о гибели или уничтожении объекта налогообложения по транспортному налогу</w:t>
            </w:r>
            <w:proofErr w:type="gramStart"/>
            <w:r w:rsidRPr="00A5027E">
              <w:rPr>
                <w:rFonts w:ascii="Times New Roman" w:hAnsi="Times New Roman"/>
                <w:sz w:val="24"/>
                <w:szCs w:val="24"/>
                <w:vertAlign w:val="superscript"/>
              </w:rPr>
              <w:t>2</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17</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о доступе к личному кабинету налогоплательщика для физических лиц</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18</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19</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на применение патентной системы налогообложения индивидуальным предпринимателем</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20</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заявления о прекращении исчисления транспортного налога в связи с принудительным изъятием транспортного средства</w:t>
            </w:r>
            <w:proofErr w:type="gramStart"/>
            <w:r w:rsidRPr="00A5027E">
              <w:rPr>
                <w:rFonts w:ascii="Times New Roman" w:hAnsi="Times New Roman"/>
                <w:sz w:val="24"/>
                <w:szCs w:val="24"/>
                <w:vertAlign w:val="superscript"/>
              </w:rPr>
              <w:t>2</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21</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z w:val="24"/>
                <w:szCs w:val="24"/>
                <w:vertAlign w:val="superscript"/>
              </w:rPr>
            </w:pPr>
            <w:r w:rsidRPr="00A5027E">
              <w:rPr>
                <w:rFonts w:ascii="Times New Roman" w:hAnsi="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proofErr w:type="gramStart"/>
            <w:r w:rsidRPr="00A5027E">
              <w:rPr>
                <w:rFonts w:ascii="Times New Roman" w:hAnsi="Times New Roman"/>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22</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napToGrid w:val="0"/>
                <w:sz w:val="24"/>
                <w:szCs w:val="24"/>
                <w:vertAlign w:val="superscript"/>
              </w:rPr>
            </w:pPr>
            <w:r w:rsidRPr="00A5027E">
              <w:rPr>
                <w:rFonts w:ascii="Times New Roman" w:hAnsi="Times New Roman"/>
                <w:color w:val="000000"/>
                <w:sz w:val="24"/>
                <w:szCs w:val="24"/>
                <w:lang w:eastAsia="ru-RU"/>
              </w:rPr>
              <w:t xml:space="preserve">Информирование физических лиц </w:t>
            </w:r>
            <w:r w:rsidRPr="00A5027E">
              <w:rPr>
                <w:rFonts w:ascii="Times New Roman" w:hAnsi="Times New Roman"/>
                <w:snapToGrid w:val="0"/>
                <w:sz w:val="24"/>
                <w:szCs w:val="24"/>
              </w:rPr>
              <w:t>о начислениях налогов, сборов, пеней, штрафов, процентов с истекшим сроком уплаты (задолженности) с использованием Государственной информационной системы о государственных и муниципальных платежах (ГИС ГМП)</w:t>
            </w:r>
            <w:r w:rsidRPr="00A5027E">
              <w:rPr>
                <w:rFonts w:ascii="Times New Roman" w:hAnsi="Times New Roman"/>
                <w:snapToGrid w:val="0"/>
                <w:sz w:val="24"/>
                <w:szCs w:val="24"/>
                <w:vertAlign w:val="superscript"/>
              </w:rPr>
              <w:t>1</w:t>
            </w:r>
          </w:p>
          <w:p w:rsidR="00B159C0" w:rsidRPr="00A5027E" w:rsidRDefault="00B159C0" w:rsidP="009566D6">
            <w:pPr>
              <w:spacing w:after="0" w:line="240" w:lineRule="auto"/>
              <w:jc w:val="both"/>
              <w:rPr>
                <w:rFonts w:ascii="Times New Roman" w:hAnsi="Times New Roman"/>
                <w:snapToGrid w:val="0"/>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23</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napToGrid w:val="0"/>
                <w:sz w:val="24"/>
                <w:szCs w:val="24"/>
                <w:vertAlign w:val="superscript"/>
              </w:rPr>
            </w:pPr>
            <w:r w:rsidRPr="00A5027E">
              <w:rPr>
                <w:rFonts w:ascii="Times New Roman" w:hAnsi="Times New Roman"/>
                <w:color w:val="000000"/>
                <w:sz w:val="24"/>
                <w:szCs w:val="24"/>
                <w:lang w:eastAsia="ru-RU"/>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proofErr w:type="gramStart"/>
            <w:r w:rsidRPr="00A5027E">
              <w:rPr>
                <w:rFonts w:ascii="Times New Roman" w:hAnsi="Times New Roman"/>
                <w:snapToGrid w:val="0"/>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napToGrid w:val="0"/>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24</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napToGrid w:val="0"/>
                <w:sz w:val="24"/>
                <w:szCs w:val="24"/>
                <w:vertAlign w:val="superscript"/>
              </w:rPr>
            </w:pPr>
            <w:r w:rsidRPr="00A5027E">
              <w:rPr>
                <w:rFonts w:ascii="Times New Roman" w:hAnsi="Times New Roman"/>
                <w:color w:val="000000"/>
                <w:sz w:val="24"/>
                <w:szCs w:val="24"/>
                <w:lang w:eastAsia="ru-RU"/>
              </w:rPr>
              <w:t>Прием уведомления о переходе на упрощенную систему налогообложения</w:t>
            </w:r>
            <w:proofErr w:type="gramStart"/>
            <w:r w:rsidRPr="00A5027E">
              <w:rPr>
                <w:rFonts w:ascii="Times New Roman" w:hAnsi="Times New Roman"/>
                <w:snapToGrid w:val="0"/>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napToGrid w:val="0"/>
                <w:sz w:val="24"/>
                <w:szCs w:val="24"/>
                <w:vertAlign w:val="superscript"/>
              </w:rPr>
            </w:pPr>
          </w:p>
          <w:p w:rsidR="00B159C0" w:rsidRPr="00A5027E" w:rsidRDefault="00B159C0" w:rsidP="009566D6">
            <w:pPr>
              <w:spacing w:after="0" w:line="240" w:lineRule="auto"/>
              <w:jc w:val="both"/>
              <w:rPr>
                <w:rFonts w:ascii="Times New Roman" w:hAnsi="Times New Roman"/>
                <w:snapToGrid w:val="0"/>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25</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napToGrid w:val="0"/>
                <w:sz w:val="24"/>
                <w:szCs w:val="24"/>
                <w:vertAlign w:val="superscript"/>
              </w:rPr>
            </w:pPr>
            <w:r w:rsidRPr="00A5027E">
              <w:rPr>
                <w:rFonts w:ascii="Times New Roman" w:hAnsi="Times New Roman"/>
                <w:color w:val="000000"/>
                <w:sz w:val="24"/>
                <w:szCs w:val="24"/>
                <w:lang w:eastAsia="ru-RU"/>
              </w:rPr>
              <w:t>Прием уведомления о переходе на систему налогообложения для сельскохозяйственных товаропроизводителей</w:t>
            </w:r>
            <w:proofErr w:type="gramStart"/>
            <w:r w:rsidRPr="00A5027E">
              <w:rPr>
                <w:rFonts w:ascii="Times New Roman" w:hAnsi="Times New Roman"/>
                <w:snapToGrid w:val="0"/>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napToGrid w:val="0"/>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lastRenderedPageBreak/>
              <w:t>26</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napToGrid w:val="0"/>
                <w:sz w:val="24"/>
                <w:szCs w:val="24"/>
                <w:vertAlign w:val="superscript"/>
              </w:rPr>
            </w:pPr>
            <w:r w:rsidRPr="00A5027E">
              <w:rPr>
                <w:rFonts w:ascii="Times New Roman" w:hAnsi="Times New Roman"/>
                <w:color w:val="000000"/>
                <w:sz w:val="24"/>
                <w:szCs w:val="24"/>
                <w:lang w:eastAsia="ru-RU"/>
              </w:rPr>
              <w:t>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его угоном (хищением), транспортного средства, находившегося в розыске в связи с его угоном (хищением), розыск которого прекращен</w:t>
            </w:r>
            <w:proofErr w:type="gramStart"/>
            <w:r w:rsidRPr="00A5027E">
              <w:rPr>
                <w:rFonts w:ascii="Times New Roman" w:hAnsi="Times New Roman"/>
                <w:snapToGrid w:val="0"/>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napToGrid w:val="0"/>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sidRPr="00C13409">
              <w:rPr>
                <w:rFonts w:ascii="Times New Roman" w:hAnsi="Times New Roman"/>
                <w:sz w:val="23"/>
                <w:szCs w:val="23"/>
              </w:rPr>
              <w:t>27</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snapToGrid w:val="0"/>
                <w:sz w:val="24"/>
                <w:szCs w:val="24"/>
                <w:vertAlign w:val="superscript"/>
              </w:rPr>
            </w:pPr>
            <w:r w:rsidRPr="00A5027E">
              <w:rPr>
                <w:rFonts w:ascii="Times New Roman" w:hAnsi="Times New Roman"/>
                <w:color w:val="000000"/>
                <w:sz w:val="24"/>
                <w:szCs w:val="24"/>
                <w:lang w:eastAsia="ru-RU"/>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proofErr w:type="gramStart"/>
            <w:r w:rsidRPr="00A5027E">
              <w:rPr>
                <w:rFonts w:ascii="Times New Roman" w:hAnsi="Times New Roman"/>
                <w:snapToGrid w:val="0"/>
                <w:sz w:val="24"/>
                <w:szCs w:val="24"/>
                <w:vertAlign w:val="superscript"/>
              </w:rPr>
              <w:t>1</w:t>
            </w:r>
            <w:proofErr w:type="gramEnd"/>
          </w:p>
          <w:p w:rsidR="00B159C0" w:rsidRPr="00A5027E" w:rsidRDefault="00B159C0" w:rsidP="009566D6">
            <w:pPr>
              <w:spacing w:after="0" w:line="240" w:lineRule="auto"/>
              <w:jc w:val="both"/>
              <w:rPr>
                <w:rFonts w:ascii="Times New Roman" w:hAnsi="Times New Roman"/>
                <w:snapToGrid w:val="0"/>
                <w:sz w:val="24"/>
                <w:szCs w:val="24"/>
                <w:vertAlign w:val="superscript"/>
              </w:rPr>
            </w:pPr>
          </w:p>
        </w:tc>
      </w:tr>
      <w:tr w:rsidR="00B159C0" w:rsidRPr="00C13409" w:rsidTr="00B44199">
        <w:trPr>
          <w:trHeight w:val="199"/>
        </w:trPr>
        <w:tc>
          <w:tcPr>
            <w:tcW w:w="574" w:type="dxa"/>
            <w:shd w:val="clear" w:color="auto" w:fill="auto"/>
          </w:tcPr>
          <w:p w:rsidR="00B159C0" w:rsidRPr="00C13409" w:rsidRDefault="00B159C0" w:rsidP="009566D6">
            <w:pPr>
              <w:spacing w:after="0" w:line="240" w:lineRule="auto"/>
              <w:jc w:val="center"/>
              <w:rPr>
                <w:rFonts w:ascii="Times New Roman" w:hAnsi="Times New Roman"/>
                <w:sz w:val="23"/>
                <w:szCs w:val="23"/>
              </w:rPr>
            </w:pPr>
            <w:r>
              <w:rPr>
                <w:rFonts w:ascii="Times New Roman" w:hAnsi="Times New Roman"/>
                <w:sz w:val="23"/>
                <w:szCs w:val="23"/>
              </w:rPr>
              <w:t>28*</w:t>
            </w:r>
          </w:p>
        </w:tc>
        <w:tc>
          <w:tcPr>
            <w:tcW w:w="9599" w:type="dxa"/>
            <w:tcBorders>
              <w:top w:val="single" w:sz="4" w:space="0" w:color="auto"/>
              <w:left w:val="nil"/>
              <w:bottom w:val="single" w:sz="4" w:space="0" w:color="auto"/>
              <w:right w:val="single" w:sz="4" w:space="0" w:color="auto"/>
            </w:tcBorders>
            <w:shd w:val="clear" w:color="auto" w:fill="auto"/>
          </w:tcPr>
          <w:p w:rsidR="00B159C0" w:rsidRPr="00A5027E" w:rsidRDefault="00B159C0" w:rsidP="009566D6">
            <w:pPr>
              <w:spacing w:after="0" w:line="240" w:lineRule="auto"/>
              <w:jc w:val="both"/>
              <w:rPr>
                <w:rFonts w:ascii="Times New Roman" w:hAnsi="Times New Roman"/>
                <w:color w:val="000000"/>
                <w:sz w:val="24"/>
                <w:szCs w:val="24"/>
                <w:lang w:eastAsia="ru-RU"/>
              </w:rPr>
            </w:pPr>
            <w:r w:rsidRPr="00A5027E">
              <w:rPr>
                <w:rFonts w:ascii="Times New Roman" w:hAnsi="Times New Roman"/>
                <w:sz w:val="24"/>
                <w:szCs w:val="24"/>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proofErr w:type="gramStart"/>
            <w:r w:rsidRPr="00A5027E">
              <w:rPr>
                <w:rFonts w:ascii="Times New Roman" w:hAnsi="Times New Roman"/>
                <w:snapToGrid w:val="0"/>
                <w:sz w:val="24"/>
                <w:szCs w:val="24"/>
                <w:vertAlign w:val="superscript"/>
              </w:rPr>
              <w:t>1</w:t>
            </w:r>
            <w:proofErr w:type="gramEnd"/>
          </w:p>
        </w:tc>
      </w:tr>
    </w:tbl>
    <w:p w:rsidR="00B159C0" w:rsidRDefault="00B159C0" w:rsidP="00B159C0">
      <w:pPr>
        <w:spacing w:after="0"/>
        <w:rPr>
          <w:rFonts w:ascii="Times New Roman" w:hAnsi="Times New Roman"/>
          <w:sz w:val="23"/>
          <w:szCs w:val="23"/>
        </w:rPr>
      </w:pPr>
    </w:p>
    <w:p w:rsidR="00B44199" w:rsidRDefault="00B44199" w:rsidP="00B159C0">
      <w:pPr>
        <w:spacing w:after="0"/>
        <w:rPr>
          <w:rFonts w:ascii="Times New Roman" w:hAnsi="Times New Roman"/>
          <w:sz w:val="23"/>
          <w:szCs w:val="23"/>
        </w:rPr>
      </w:pPr>
      <w:r>
        <w:rPr>
          <w:rFonts w:ascii="Times New Roman" w:hAnsi="Times New Roman"/>
          <w:sz w:val="23"/>
          <w:szCs w:val="23"/>
        </w:rPr>
        <w:t>________</w:t>
      </w:r>
    </w:p>
    <w:p w:rsidR="00B159C0" w:rsidRPr="004D0C9D" w:rsidRDefault="00B159C0" w:rsidP="00B159C0">
      <w:pPr>
        <w:spacing w:after="0" w:line="240" w:lineRule="auto"/>
        <w:jc w:val="both"/>
        <w:rPr>
          <w:rFonts w:ascii="Times New Roman" w:hAnsi="Times New Roman"/>
          <w:sz w:val="23"/>
          <w:szCs w:val="23"/>
        </w:rPr>
      </w:pPr>
      <w:r w:rsidRPr="004D0C9D">
        <w:rPr>
          <w:rFonts w:ascii="Times New Roman" w:hAnsi="Times New Roman"/>
          <w:sz w:val="23"/>
          <w:szCs w:val="23"/>
          <w:vertAlign w:val="superscript"/>
        </w:rPr>
        <w:t>1</w:t>
      </w:r>
      <w:r w:rsidRPr="004D0C9D">
        <w:rPr>
          <w:rFonts w:ascii="Times New Roman" w:hAnsi="Times New Roman"/>
          <w:sz w:val="23"/>
          <w:szCs w:val="23"/>
        </w:rPr>
        <w:t xml:space="preserve"> - услуга имеет экстерриториальный принцип предоставления;</w:t>
      </w:r>
    </w:p>
    <w:p w:rsidR="00B159C0" w:rsidRDefault="00B159C0" w:rsidP="00B159C0">
      <w:pPr>
        <w:spacing w:after="0" w:line="240" w:lineRule="auto"/>
        <w:jc w:val="both"/>
        <w:rPr>
          <w:rFonts w:ascii="Times New Roman" w:hAnsi="Times New Roman"/>
          <w:sz w:val="23"/>
          <w:szCs w:val="23"/>
        </w:rPr>
      </w:pPr>
      <w:r w:rsidRPr="004D0C9D">
        <w:rPr>
          <w:rFonts w:ascii="Times New Roman" w:hAnsi="Times New Roman"/>
          <w:sz w:val="24"/>
          <w:szCs w:val="23"/>
          <w:vertAlign w:val="superscript"/>
        </w:rPr>
        <w:t>2 </w:t>
      </w:r>
      <w:r w:rsidRPr="004D0C9D">
        <w:rPr>
          <w:rFonts w:ascii="Times New Roman" w:hAnsi="Times New Roman"/>
          <w:sz w:val="23"/>
          <w:szCs w:val="23"/>
        </w:rPr>
        <w:t xml:space="preserve">- </w:t>
      </w:r>
      <w:proofErr w:type="gramStart"/>
      <w:r w:rsidRPr="004D0C9D">
        <w:rPr>
          <w:rFonts w:ascii="Times New Roman" w:hAnsi="Times New Roman"/>
          <w:sz w:val="23"/>
          <w:szCs w:val="23"/>
        </w:rPr>
        <w:t>услуга</w:t>
      </w:r>
      <w:proofErr w:type="gramEnd"/>
      <w:r w:rsidRPr="004D0C9D">
        <w:rPr>
          <w:rFonts w:ascii="Times New Roman" w:hAnsi="Times New Roman"/>
          <w:sz w:val="23"/>
          <w:szCs w:val="23"/>
        </w:rPr>
        <w:t xml:space="preserve"> оказывается по месту учёта заявителя</w:t>
      </w:r>
      <w:r w:rsidR="00B44199">
        <w:rPr>
          <w:rFonts w:ascii="Times New Roman" w:hAnsi="Times New Roman"/>
          <w:sz w:val="23"/>
          <w:szCs w:val="23"/>
        </w:rPr>
        <w:t>;</w:t>
      </w:r>
    </w:p>
    <w:p w:rsidR="00B159C0" w:rsidRPr="004D0C9D" w:rsidRDefault="00B159C0" w:rsidP="00B159C0">
      <w:pPr>
        <w:spacing w:after="0" w:line="240" w:lineRule="auto"/>
        <w:jc w:val="both"/>
        <w:rPr>
          <w:rFonts w:ascii="Times New Roman" w:hAnsi="Times New Roman"/>
          <w:sz w:val="23"/>
          <w:szCs w:val="23"/>
        </w:rPr>
      </w:pPr>
      <w:r>
        <w:rPr>
          <w:rFonts w:ascii="Times New Roman" w:hAnsi="Times New Roman"/>
          <w:sz w:val="23"/>
          <w:szCs w:val="23"/>
        </w:rPr>
        <w:t xml:space="preserve">* </w:t>
      </w:r>
      <w:r w:rsidR="00B44199">
        <w:rPr>
          <w:rFonts w:ascii="Times New Roman" w:hAnsi="Times New Roman"/>
          <w:sz w:val="23"/>
          <w:szCs w:val="23"/>
        </w:rPr>
        <w:t xml:space="preserve">- </w:t>
      </w:r>
      <w:r>
        <w:rPr>
          <w:rFonts w:ascii="Times New Roman" w:hAnsi="Times New Roman"/>
          <w:sz w:val="23"/>
          <w:szCs w:val="23"/>
        </w:rPr>
        <w:t>предоставление услуги в ГАУ НСО «МФЦ» организовано с 09.01.2025.</w:t>
      </w:r>
    </w:p>
    <w:p w:rsidR="008E1017" w:rsidRDefault="008E1017"/>
    <w:sectPr w:rsidR="008E1017" w:rsidSect="00B44199">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AA"/>
    <w:rsid w:val="005F5AAA"/>
    <w:rsid w:val="008E1017"/>
    <w:rsid w:val="00B159C0"/>
    <w:rsid w:val="00B4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9C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9C0"/>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B316CC03F0694FF9E7C2DAB7899A579FC51FB9D549BAEC75AF62EE15E70D071CC76EE46E154A6D2F79D54460B2AEE4B492748D3C67209CAh4m8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Брагина Елена Владимировна</dc:creator>
  <cp:lastModifiedBy>Ботвиновская Ольга Владимировна</cp:lastModifiedBy>
  <cp:revision>2</cp:revision>
  <dcterms:created xsi:type="dcterms:W3CDTF">2025-07-30T03:51:00Z</dcterms:created>
  <dcterms:modified xsi:type="dcterms:W3CDTF">2025-07-30T03:51:00Z</dcterms:modified>
</cp:coreProperties>
</file>