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E2" w:rsidRDefault="00A82403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EC73E2" w:rsidRDefault="00C452C8">
      <w:pPr>
        <w:jc w:val="center"/>
        <w:rPr>
          <w:noProof/>
          <w:sz w:val="24"/>
        </w:rPr>
      </w:pPr>
      <w:r>
        <w:rPr>
          <w:noProof/>
          <w:sz w:val="24"/>
          <w:lang w:val="en-US"/>
        </w:rPr>
        <w:t>d</w:t>
      </w:r>
      <w:r w:rsidR="00A82403">
        <w:rPr>
          <w:noProof/>
          <w:sz w:val="24"/>
        </w:rPr>
        <w:t>ходящей корреспонденции по тематике обращений граждан</w:t>
      </w:r>
    </w:p>
    <w:p w:rsidR="00EC73E2" w:rsidRDefault="00A82403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31.12.2023</w:t>
      </w:r>
    </w:p>
    <w:p w:rsidR="00EC73E2" w:rsidRDefault="00EC73E2">
      <w:pPr>
        <w:jc w:val="center"/>
        <w:rPr>
          <w:noProof/>
          <w:sz w:val="18"/>
          <w:lang w:val="en-US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417"/>
      </w:tblGrid>
      <w:tr w:rsidR="00EC73E2" w:rsidRPr="00C452C8" w:rsidTr="00C452C8">
        <w:trPr>
          <w:cantSplit/>
          <w:trHeight w:val="253"/>
          <w:tblHeader/>
        </w:trPr>
        <w:tc>
          <w:tcPr>
            <w:tcW w:w="8931" w:type="dxa"/>
            <w:vMerge w:val="restart"/>
            <w:vAlign w:val="center"/>
          </w:tcPr>
          <w:p w:rsidR="00EC73E2" w:rsidRPr="00C452C8" w:rsidRDefault="00A82403" w:rsidP="00C452C8">
            <w:pPr>
              <w:jc w:val="center"/>
              <w:rPr>
                <w:b/>
                <w:sz w:val="22"/>
                <w:szCs w:val="22"/>
              </w:rPr>
            </w:pPr>
            <w:r w:rsidRPr="00C452C8">
              <w:rPr>
                <w:b/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1417" w:type="dxa"/>
            <w:vMerge w:val="restart"/>
            <w:vAlign w:val="center"/>
          </w:tcPr>
          <w:p w:rsidR="00EC73E2" w:rsidRPr="00C452C8" w:rsidRDefault="00A82403" w:rsidP="00C452C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C452C8">
              <w:rPr>
                <w:b/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EC73E2" w:rsidRPr="00C452C8" w:rsidTr="00C452C8">
        <w:trPr>
          <w:cantSplit/>
          <w:trHeight w:val="278"/>
          <w:tblHeader/>
        </w:trPr>
        <w:tc>
          <w:tcPr>
            <w:tcW w:w="8931" w:type="dxa"/>
            <w:vMerge/>
          </w:tcPr>
          <w:p w:rsidR="00EC73E2" w:rsidRPr="00C452C8" w:rsidRDefault="00EC73E2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C73E2" w:rsidRPr="00C452C8" w:rsidRDefault="00EC73E2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EC73E2" w:rsidRPr="00C452C8" w:rsidTr="00C452C8">
        <w:trPr>
          <w:cantSplit/>
          <w:tblHeader/>
        </w:trPr>
        <w:tc>
          <w:tcPr>
            <w:tcW w:w="8931" w:type="dxa"/>
          </w:tcPr>
          <w:p w:rsidR="00EC73E2" w:rsidRPr="00C452C8" w:rsidRDefault="00A82403">
            <w:pPr>
              <w:jc w:val="center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C73E2" w:rsidRPr="00C452C8" w:rsidRDefault="00A82403">
            <w:pPr>
              <w:jc w:val="center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</w:t>
            </w:r>
          </w:p>
        </w:tc>
      </w:tr>
      <w:tr w:rsidR="00EC73E2" w:rsidRPr="00C452C8" w:rsidTr="00C452C8">
        <w:trPr>
          <w:cantSplit/>
        </w:trPr>
        <w:tc>
          <w:tcPr>
            <w:tcW w:w="8931" w:type="dxa"/>
          </w:tcPr>
          <w:p w:rsidR="00EC73E2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 xml:space="preserve"> -- </w:t>
            </w:r>
          </w:p>
        </w:tc>
        <w:tc>
          <w:tcPr>
            <w:tcW w:w="1417" w:type="dxa"/>
          </w:tcPr>
          <w:p w:rsidR="00EC73E2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0001.0002.0027.0122 Неполучение ответа на обращение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13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0001.0002.0027.0125 Результаты рассмотрения обращений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0001.0002.0027.0128 Некорректные обращения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0001.0002.0027.0129 Обращения, не поддающиеся прочтению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0001.0002.0027.0130 Переписка прекращена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90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0001.0002.0027.0134 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0002.0006.0065.0254 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0002.0006.0065.0261 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0002.0006.0065.0267 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0002.0007.0066.0271 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16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0002.0007.0071.0282 Назначение пенсии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0002.0014.0143.0429 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0003.0008.0086.0537 Государственная политика в налоговой сфере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14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32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40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106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238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612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0003.0008.0086.0546 Налог на прибыль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33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125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123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98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75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89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lastRenderedPageBreak/>
              <w:t>0003.0008.0086.0554 Получение налоговых уведомлений об уплате налога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16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18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440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198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1227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236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332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49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307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8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117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258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35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114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489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  <w:r w:rsidR="00446EDE" w:rsidRPr="00C452C8">
              <w:rPr>
                <w:noProof/>
                <w:sz w:val="22"/>
                <w:szCs w:val="22"/>
              </w:rPr>
              <w:t>725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0003.0008.0089.0622 Валютное регулирование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0003.0009.0096.0674 Нормативное правовое регулирование строительной деятельности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0003.0012.0133.0879 Электронное правительство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4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0004.0016.0162.0996 Преступления против собственности (государственной, частной, личной)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0004.0016.0162.1022 Противопожарная служба, соблюдение норм противопожарной безопасности</w:t>
            </w:r>
          </w:p>
        </w:tc>
        <w:tc>
          <w:tcPr>
            <w:tcW w:w="1417" w:type="dxa"/>
          </w:tcPr>
          <w:p w:rsidR="00A82403" w:rsidRPr="00C452C8" w:rsidRDefault="00A82403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1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446EDE">
            <w:pPr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 xml:space="preserve">По другим вопросам 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noProof/>
                <w:sz w:val="22"/>
                <w:szCs w:val="22"/>
              </w:rPr>
            </w:pPr>
            <w:r w:rsidRPr="00C452C8">
              <w:rPr>
                <w:noProof/>
                <w:sz w:val="22"/>
                <w:szCs w:val="22"/>
              </w:rPr>
              <w:t>516</w:t>
            </w:r>
          </w:p>
        </w:tc>
      </w:tr>
      <w:tr w:rsidR="00A82403" w:rsidRPr="00C452C8" w:rsidTr="00C452C8">
        <w:trPr>
          <w:cantSplit/>
        </w:trPr>
        <w:tc>
          <w:tcPr>
            <w:tcW w:w="8931" w:type="dxa"/>
          </w:tcPr>
          <w:p w:rsidR="00A82403" w:rsidRPr="00C452C8" w:rsidRDefault="00A82403">
            <w:pPr>
              <w:rPr>
                <w:b/>
                <w:noProof/>
                <w:sz w:val="22"/>
                <w:szCs w:val="22"/>
              </w:rPr>
            </w:pPr>
            <w:r w:rsidRPr="00C452C8">
              <w:rPr>
                <w:b/>
                <w:noProof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A82403" w:rsidRPr="00C452C8" w:rsidRDefault="00446EDE" w:rsidP="00C452C8">
            <w:pPr>
              <w:ind w:right="175"/>
              <w:jc w:val="right"/>
              <w:rPr>
                <w:b/>
                <w:noProof/>
                <w:sz w:val="22"/>
                <w:szCs w:val="22"/>
              </w:rPr>
            </w:pPr>
            <w:r w:rsidRPr="00C452C8">
              <w:rPr>
                <w:b/>
                <w:noProof/>
                <w:sz w:val="22"/>
                <w:szCs w:val="22"/>
              </w:rPr>
              <w:t>7867</w:t>
            </w:r>
          </w:p>
        </w:tc>
      </w:tr>
    </w:tbl>
    <w:p w:rsidR="00A82403" w:rsidRDefault="00A82403" w:rsidP="00C452C8">
      <w:pPr>
        <w:rPr>
          <w:noProof/>
        </w:rPr>
      </w:pPr>
      <w:bookmarkStart w:id="0" w:name="_GoBack"/>
      <w:bookmarkEnd w:id="0"/>
    </w:p>
    <w:sectPr w:rsidR="00A82403" w:rsidSect="00C452C8">
      <w:pgSz w:w="11907" w:h="16840" w:code="9"/>
      <w:pgMar w:top="568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03"/>
    <w:rsid w:val="0020560B"/>
    <w:rsid w:val="002056F9"/>
    <w:rsid w:val="00446EDE"/>
    <w:rsid w:val="00A66B6F"/>
    <w:rsid w:val="00A82403"/>
    <w:rsid w:val="00C452C8"/>
    <w:rsid w:val="00E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19</TotalTime>
  <Pages>2</Pages>
  <Words>516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Ботвиновская Ольга Владимировна</cp:lastModifiedBy>
  <cp:revision>5</cp:revision>
  <cp:lastPrinted>2024-02-13T09:00:00Z</cp:lastPrinted>
  <dcterms:created xsi:type="dcterms:W3CDTF">2024-01-31T07:53:00Z</dcterms:created>
  <dcterms:modified xsi:type="dcterms:W3CDTF">2024-02-14T09:12:00Z</dcterms:modified>
</cp:coreProperties>
</file>