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B0" w:rsidRPr="00B527D6" w:rsidRDefault="00B527D6" w:rsidP="00B527D6">
      <w:pPr>
        <w:pStyle w:val="ConsPlusTitle"/>
        <w:jc w:val="center"/>
      </w:pPr>
      <w:r w:rsidRPr="00B527D6">
        <w:t xml:space="preserve">Решение Совет депутатов города Новосибирска </w:t>
      </w:r>
      <w:r w:rsidR="00485DB0" w:rsidRPr="00B527D6">
        <w:t xml:space="preserve">от 26 ноября 2014 г. </w:t>
      </w:r>
      <w:r w:rsidRPr="00B527D6">
        <w:t>№ </w:t>
      </w:r>
      <w:r w:rsidR="00485DB0" w:rsidRPr="00B527D6">
        <w:t>1210</w:t>
      </w:r>
      <w:r>
        <w:br/>
      </w:r>
      <w:r w:rsidRPr="00B527D6">
        <w:t>«</w:t>
      </w:r>
      <w:r w:rsidR="00485DB0" w:rsidRPr="00B527D6">
        <w:t xml:space="preserve">О </w:t>
      </w:r>
      <w:r w:rsidRPr="00B527D6">
        <w:t>налоге на имущество физических лиц</w:t>
      </w:r>
      <w:r>
        <w:t xml:space="preserve"> </w:t>
      </w:r>
      <w:r w:rsidRPr="00B527D6">
        <w:t xml:space="preserve">на территории города </w:t>
      </w:r>
      <w:r w:rsidR="00485DB0" w:rsidRPr="00B527D6">
        <w:t>Н</w:t>
      </w:r>
      <w:r w:rsidRPr="00B527D6">
        <w:t>овосибирска»</w:t>
      </w:r>
      <w:r>
        <w:br/>
      </w:r>
      <w:r w:rsidRPr="00B527D6">
        <w:t xml:space="preserve">(с изм. от </w:t>
      </w:r>
      <w:r w:rsidRPr="00B527D6">
        <w:t xml:space="preserve">28.10.2015 </w:t>
      </w:r>
      <w:hyperlink r:id="rId5" w:history="1">
        <w:r w:rsidRPr="00B527D6">
          <w:t>№ 20</w:t>
        </w:r>
      </w:hyperlink>
      <w:r w:rsidRPr="00B527D6">
        <w:t xml:space="preserve">, от 26.09.2018 </w:t>
      </w:r>
      <w:hyperlink r:id="rId6" w:history="1">
        <w:r w:rsidRPr="00B527D6">
          <w:t>№ 674</w:t>
        </w:r>
      </w:hyperlink>
      <w:r w:rsidRPr="00B527D6">
        <w:t>)</w:t>
      </w:r>
    </w:p>
    <w:p w:rsidR="00485DB0" w:rsidRPr="00B527D6" w:rsidRDefault="00485DB0" w:rsidP="00B527D6">
      <w:pPr>
        <w:pStyle w:val="ConsPlusNormal"/>
        <w:jc w:val="center"/>
      </w:pP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bookmarkStart w:id="0" w:name="_GoBack"/>
      <w:proofErr w:type="gramStart"/>
      <w:r w:rsidRPr="00B527D6">
        <w:t xml:space="preserve">В соответствии с Налоговым </w:t>
      </w:r>
      <w:hyperlink r:id="rId7" w:history="1">
        <w:r w:rsidRPr="00B527D6">
          <w:t>кодексом</w:t>
        </w:r>
      </w:hyperlink>
      <w:r w:rsidRPr="00B527D6">
        <w:t xml:space="preserve"> Российской Федерации, Федеральным </w:t>
      </w:r>
      <w:hyperlink r:id="rId8" w:history="1">
        <w:r w:rsidRPr="00B527D6">
          <w:t>законом</w:t>
        </w:r>
      </w:hyperlink>
      <w:r w:rsidRPr="00B527D6">
        <w:t xml:space="preserve"> от 06.10.2003 </w:t>
      </w:r>
      <w:r w:rsidR="00B527D6" w:rsidRPr="00B527D6">
        <w:t>№ </w:t>
      </w:r>
      <w:r w:rsidRPr="00B527D6">
        <w:t xml:space="preserve">131-ФЗ "Об общих принципах организации местного самоуправления в Российской Федерации", </w:t>
      </w:r>
      <w:hyperlink r:id="rId9" w:history="1">
        <w:r w:rsidRPr="00B527D6">
          <w:t>Законом</w:t>
        </w:r>
      </w:hyperlink>
      <w:r w:rsidRPr="00B527D6">
        <w:t xml:space="preserve"> Новосибирской области от 31.10.2014 </w:t>
      </w:r>
      <w:r w:rsidR="00B527D6" w:rsidRPr="00B527D6">
        <w:t>№ </w:t>
      </w:r>
      <w:r w:rsidRPr="00B527D6">
        <w:t xml:space="preserve">478-ОЗ "Об установлении единой даты начала применения на территории Новосибирской области порядка определения налоговой базы по налогу на имущество физических лиц исходя из кадастровой стоимости объектов налогообложения", руководствуясь </w:t>
      </w:r>
      <w:hyperlink r:id="rId10" w:history="1">
        <w:r w:rsidRPr="00B527D6">
          <w:t>статьей 35</w:t>
        </w:r>
      </w:hyperlink>
      <w:r w:rsidRPr="00B527D6">
        <w:t xml:space="preserve"> Устава города Новосибирска, Совет</w:t>
      </w:r>
      <w:proofErr w:type="gramEnd"/>
      <w:r w:rsidRPr="00B527D6">
        <w:t xml:space="preserve"> депутатов города Новосибирска решил: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>1. Установить и ввести в действие на территории города Новосибирска налог на имущество физических лиц (далее - налог).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>2. Определить налоговые ставки в следующих размерах: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>1) 0,1 процента в отношении: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>жилых домов, частей жилых домов, квартир, частей квартир, комнат;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>объектов незавершенного строительства в случае, если проектируемым назначением таких объектов является жилой дом;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>единых недвижимых комплексов, в состав которых входит хотя бы один жилой дом;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 xml:space="preserve">гаражей и </w:t>
      </w:r>
      <w:proofErr w:type="spellStart"/>
      <w:r w:rsidRPr="00B527D6">
        <w:t>машино</w:t>
      </w:r>
      <w:proofErr w:type="spellEnd"/>
      <w:r w:rsidRPr="00B527D6">
        <w:t xml:space="preserve">-мест, в том числе расположенных в объектах налогообложения, указанных в </w:t>
      </w:r>
      <w:hyperlink w:anchor="P27" w:history="1">
        <w:r w:rsidRPr="00B527D6">
          <w:t>подпункте 2</w:t>
        </w:r>
      </w:hyperlink>
      <w:r w:rsidRPr="00B527D6">
        <w:t xml:space="preserve"> настоящего пункта;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bookmarkStart w:id="1" w:name="P27"/>
      <w:bookmarkEnd w:id="1"/>
      <w:proofErr w:type="gramStart"/>
      <w:r w:rsidRPr="00B527D6">
        <w:t xml:space="preserve">2) 2,0 процента в отношении объектов налогообложения, включенных в перечень, определяемый в соответствии с </w:t>
      </w:r>
      <w:hyperlink r:id="rId11" w:history="1">
        <w:r w:rsidRPr="00B527D6">
          <w:t>пунктом 7 статьи 378.2</w:t>
        </w:r>
      </w:hyperlink>
      <w:r w:rsidRPr="00B527D6">
        <w:t xml:space="preserve"> Налогового кодекса Российской Федерации, в отношении объектов налогообложения, предусмотренных </w:t>
      </w:r>
      <w:hyperlink r:id="rId12" w:history="1">
        <w:r w:rsidRPr="00B527D6">
          <w:t>абзацем вторым пункта 10 статьи 378.2</w:t>
        </w:r>
      </w:hyperlink>
      <w:r w:rsidRPr="00B527D6"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>3) 0,5 процента в отношении прочих объектов налогообложения.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>3. Установить, что налоговая база в отношении объектов налогообложения определяется исходя из их кадастровой стоимости.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>Налоговая база в отношении квартиры, части жилого дома определяется как ее кадастровая стоимость, уменьшенная на величину кадастровой стоимости 20 квадратных метров общей площади этой квартиры, части жилого дома.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>Налоговая база в отношении комнаты, части квартиры определяется как ее кадастровая стоимость, уменьшенная на величину кадастровой стоимости 10 квадратных метров площади этой комнаты, части квартиры.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>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>Налоговая база в отношении единого недвижимого комплекса, в состав которого входит хотя бы один жилой дом, определяется как его кадастровая стоимость, уменьшенная на один миллион рублей.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bookmarkStart w:id="2" w:name="P41"/>
      <w:bookmarkEnd w:id="2"/>
      <w:r w:rsidRPr="00B527D6">
        <w:t xml:space="preserve">4. Установить, что право на налоговые льготы, не предусмотренные Налоговым </w:t>
      </w:r>
      <w:hyperlink r:id="rId13" w:history="1">
        <w:r w:rsidRPr="00B527D6">
          <w:t>кодексом</w:t>
        </w:r>
      </w:hyperlink>
      <w:r w:rsidRPr="00B527D6">
        <w:t xml:space="preserve"> Российской Федерации, имеют следующие категории налогоплательщиков: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bookmarkStart w:id="3" w:name="P42"/>
      <w:bookmarkEnd w:id="3"/>
      <w:r w:rsidRPr="00B527D6">
        <w:t>1) лица, имеющие на своем иждивении трех и более несовершеннолетних детей, детей старше восемнадцати лет, обучающихся по очной форме обучения до получения образования, но не более чем до двадцати трех лет;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 xml:space="preserve">2) несовершеннолетние дети, дети старше восемнадцати лет, обучающиеся по очной форме обучения до получения образования, но не более чем до двадцати трех лет, находящиеся на иждивении лиц, указанных в </w:t>
      </w:r>
      <w:hyperlink w:anchor="P42" w:history="1">
        <w:r w:rsidRPr="00B527D6">
          <w:t>подпункте 1</w:t>
        </w:r>
      </w:hyperlink>
      <w:r w:rsidRPr="00B527D6">
        <w:t xml:space="preserve"> настоящего пункта;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lastRenderedPageBreak/>
        <w:t>3) дети-сироты и дети, оставшиеся без попечения родителей;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>4) лица из числа детей-сирот и детей, оставшихся без попечения родителей, обучающиеся по очной форме обучения до получения образования, но не более чем до двадцати трех лет.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>4.1. Налоговая льгота предоставляется в отношении следующих видов объектов налогообложения: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>квартира, часть квартиры или комната;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>жилой дом или часть жилого дома;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 xml:space="preserve">гараж или </w:t>
      </w:r>
      <w:proofErr w:type="spellStart"/>
      <w:r w:rsidRPr="00B527D6">
        <w:t>машино</w:t>
      </w:r>
      <w:proofErr w:type="spellEnd"/>
      <w:r w:rsidRPr="00B527D6">
        <w:t>-место.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>5.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 xml:space="preserve">При определении подлежащей уплате налогоплательщиком суммы налога налоговая льгота предоставляется </w:t>
      </w:r>
      <w:proofErr w:type="gramStart"/>
      <w:r w:rsidRPr="00B527D6"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B527D6">
        <w:t xml:space="preserve"> налоговых льгот.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 xml:space="preserve">6. Налоговая льгота не предоставляется в отношении объектов налогообложения, указанных в </w:t>
      </w:r>
      <w:hyperlink w:anchor="P27" w:history="1">
        <w:r w:rsidRPr="00B527D6">
          <w:t>подпункте 2 пункта 2</w:t>
        </w:r>
      </w:hyperlink>
      <w:r w:rsidRPr="00B527D6">
        <w:t xml:space="preserve"> настоящего решения, за исключением гаражей и </w:t>
      </w:r>
      <w:proofErr w:type="spellStart"/>
      <w:r w:rsidRPr="00B527D6">
        <w:t>машино</w:t>
      </w:r>
      <w:proofErr w:type="spellEnd"/>
      <w:r w:rsidRPr="00B527D6">
        <w:t>-мест, расположенных в таких объектах налогообложения.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 xml:space="preserve">7. Физические лица, имеющие право на налоговые льготы в соответствии с </w:t>
      </w:r>
      <w:hyperlink w:anchor="P41" w:history="1">
        <w:r w:rsidRPr="00B527D6">
          <w:t>пунктом 4</w:t>
        </w:r>
      </w:hyperlink>
      <w:r w:rsidRPr="00B527D6">
        <w:t xml:space="preserve"> настоящего решения,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льготу, в порядке, предусмотренном </w:t>
      </w:r>
      <w:hyperlink r:id="rId14" w:history="1">
        <w:r w:rsidRPr="00B527D6">
          <w:t>пунктом 6 статьи 407</w:t>
        </w:r>
      </w:hyperlink>
      <w:r w:rsidRPr="00B527D6">
        <w:t xml:space="preserve"> Налогового кодекса Российской Федерации.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>8. Признать утратившими силу:</w:t>
      </w:r>
    </w:p>
    <w:p w:rsidR="00485DB0" w:rsidRPr="00B527D6" w:rsidRDefault="00B527D6" w:rsidP="00B527D6">
      <w:pPr>
        <w:pStyle w:val="ConsPlusNormal"/>
        <w:spacing w:before="80"/>
        <w:ind w:firstLine="539"/>
        <w:jc w:val="both"/>
      </w:pPr>
      <w:hyperlink r:id="rId15" w:history="1">
        <w:r w:rsidR="00485DB0" w:rsidRPr="00B527D6">
          <w:t>решение</w:t>
        </w:r>
      </w:hyperlink>
      <w:r w:rsidR="00485DB0" w:rsidRPr="00B527D6">
        <w:t xml:space="preserve"> городского Совета Новосибирска от 25.10.2000 </w:t>
      </w:r>
      <w:r w:rsidRPr="00B527D6">
        <w:t>№ </w:t>
      </w:r>
      <w:r w:rsidR="00485DB0" w:rsidRPr="00B527D6">
        <w:t>371 "Об утверждении ставок налогов на имущество физических лиц: строения, помещения, сооружения и транспортные средства";</w:t>
      </w:r>
    </w:p>
    <w:p w:rsidR="00485DB0" w:rsidRPr="00B527D6" w:rsidRDefault="00B527D6" w:rsidP="00B527D6">
      <w:pPr>
        <w:pStyle w:val="ConsPlusNormal"/>
        <w:spacing w:before="80"/>
        <w:ind w:firstLine="539"/>
        <w:jc w:val="both"/>
      </w:pPr>
      <w:hyperlink r:id="rId16" w:history="1">
        <w:r w:rsidR="00485DB0" w:rsidRPr="00B527D6">
          <w:t>решение</w:t>
        </w:r>
      </w:hyperlink>
      <w:r w:rsidR="00485DB0" w:rsidRPr="00B527D6">
        <w:t xml:space="preserve"> городского Совета Новосибирска от 17.04.2002 </w:t>
      </w:r>
      <w:r w:rsidRPr="00B527D6">
        <w:t>№ </w:t>
      </w:r>
      <w:r w:rsidR="00485DB0" w:rsidRPr="00B527D6">
        <w:t xml:space="preserve">130 "О внесении изменений в решение городского Совета от 25.10.2000 </w:t>
      </w:r>
      <w:r w:rsidRPr="00B527D6">
        <w:t>№ </w:t>
      </w:r>
      <w:r w:rsidR="00485DB0" w:rsidRPr="00B527D6">
        <w:t>371 "Об утверждении ставок налогов на имущество физических лиц: строения, помещения, сооружения и транспортные средства";</w:t>
      </w:r>
    </w:p>
    <w:p w:rsidR="00485DB0" w:rsidRPr="00B527D6" w:rsidRDefault="00B527D6" w:rsidP="00B527D6">
      <w:pPr>
        <w:pStyle w:val="ConsPlusNormal"/>
        <w:spacing w:before="80"/>
        <w:ind w:firstLine="539"/>
        <w:jc w:val="both"/>
      </w:pPr>
      <w:hyperlink r:id="rId17" w:history="1">
        <w:r w:rsidR="00485DB0" w:rsidRPr="00B527D6">
          <w:t>решение</w:t>
        </w:r>
      </w:hyperlink>
      <w:r w:rsidR="00485DB0" w:rsidRPr="00B527D6">
        <w:t xml:space="preserve"> городского Совета Новосибирска от 04.03.2003 </w:t>
      </w:r>
      <w:r w:rsidRPr="00B527D6">
        <w:t>№ </w:t>
      </w:r>
      <w:r w:rsidR="00485DB0" w:rsidRPr="00B527D6">
        <w:t xml:space="preserve">225 "О внесении изменений в решение городского Совета от 25.10.2000 </w:t>
      </w:r>
      <w:r w:rsidRPr="00B527D6">
        <w:t>№ </w:t>
      </w:r>
      <w:r w:rsidR="00485DB0" w:rsidRPr="00B527D6">
        <w:t>371 "Об утверждении ставок налогов на имущество физических лиц: строения, помещения, сооружения и транспортные средства";</w:t>
      </w:r>
    </w:p>
    <w:p w:rsidR="00485DB0" w:rsidRPr="00B527D6" w:rsidRDefault="00B527D6" w:rsidP="00B527D6">
      <w:pPr>
        <w:pStyle w:val="ConsPlusNormal"/>
        <w:spacing w:before="80"/>
        <w:ind w:firstLine="539"/>
        <w:jc w:val="both"/>
      </w:pPr>
      <w:hyperlink r:id="rId18" w:history="1">
        <w:r w:rsidR="00485DB0" w:rsidRPr="00B527D6">
          <w:t>решение</w:t>
        </w:r>
      </w:hyperlink>
      <w:r w:rsidR="00485DB0" w:rsidRPr="00B527D6">
        <w:t xml:space="preserve"> городского Совета Новосибирска от 23.11.2004 </w:t>
      </w:r>
      <w:r w:rsidRPr="00B527D6">
        <w:t>№ </w:t>
      </w:r>
      <w:r w:rsidR="00485DB0" w:rsidRPr="00B527D6">
        <w:t xml:space="preserve">493 "О внесении изменений в приложение к решению городского Совета от 25.10.2000 </w:t>
      </w:r>
      <w:r w:rsidRPr="00B527D6">
        <w:t>№ </w:t>
      </w:r>
      <w:r w:rsidR="00485DB0" w:rsidRPr="00B527D6">
        <w:t xml:space="preserve">371 "Об утверждении ставок налогов на имущество физических лиц" (в ред. решения от 04.03.2003 </w:t>
      </w:r>
      <w:r w:rsidRPr="00B527D6">
        <w:t>№ </w:t>
      </w:r>
      <w:r w:rsidR="00485DB0" w:rsidRPr="00B527D6">
        <w:t>225)";</w:t>
      </w:r>
    </w:p>
    <w:p w:rsidR="00485DB0" w:rsidRPr="00B527D6" w:rsidRDefault="00B527D6" w:rsidP="00B527D6">
      <w:pPr>
        <w:pStyle w:val="ConsPlusNormal"/>
        <w:spacing w:before="80"/>
        <w:ind w:firstLine="539"/>
        <w:jc w:val="both"/>
      </w:pPr>
      <w:hyperlink r:id="rId19" w:history="1">
        <w:r w:rsidR="00485DB0" w:rsidRPr="00B527D6">
          <w:t>решение</w:t>
        </w:r>
      </w:hyperlink>
      <w:r w:rsidR="00485DB0" w:rsidRPr="00B527D6">
        <w:t xml:space="preserve"> городского Совета Новосибирска от 25.10.2006 </w:t>
      </w:r>
      <w:r w:rsidRPr="00B527D6">
        <w:t>№ </w:t>
      </w:r>
      <w:r w:rsidR="00485DB0" w:rsidRPr="00B527D6">
        <w:t xml:space="preserve">393 "О внесении изменений в приложение к решению городского Совета от 25.10.2000 </w:t>
      </w:r>
      <w:r w:rsidRPr="00B527D6">
        <w:t>№ </w:t>
      </w:r>
      <w:r w:rsidR="00485DB0" w:rsidRPr="00B527D6">
        <w:t>371 "Об утверждении ставок налогов на имущество физических лиц";</w:t>
      </w:r>
    </w:p>
    <w:p w:rsidR="00485DB0" w:rsidRPr="00B527D6" w:rsidRDefault="00B527D6" w:rsidP="00B527D6">
      <w:pPr>
        <w:pStyle w:val="ConsPlusNormal"/>
        <w:spacing w:before="80"/>
        <w:ind w:firstLine="539"/>
        <w:jc w:val="both"/>
      </w:pPr>
      <w:hyperlink r:id="rId20" w:history="1">
        <w:r w:rsidR="00485DB0" w:rsidRPr="00B527D6">
          <w:t>решение</w:t>
        </w:r>
      </w:hyperlink>
      <w:r w:rsidR="00485DB0" w:rsidRPr="00B527D6">
        <w:t xml:space="preserve"> Совета депутатов города Новосибирска от 26.11.2008 </w:t>
      </w:r>
      <w:r w:rsidRPr="00B527D6">
        <w:t>№ </w:t>
      </w:r>
      <w:r w:rsidR="00485DB0" w:rsidRPr="00B527D6">
        <w:t xml:space="preserve">1099 "О внесении изменения в приложение к решению городского Совета Новосибирска от 25.10.2000 </w:t>
      </w:r>
      <w:r w:rsidRPr="00B527D6">
        <w:t>№ </w:t>
      </w:r>
      <w:r w:rsidR="00485DB0" w:rsidRPr="00B527D6">
        <w:t xml:space="preserve">371 "Об утверждении ставок налогов на имущество физических лиц" и признании </w:t>
      </w:r>
      <w:proofErr w:type="gramStart"/>
      <w:r w:rsidR="00485DB0" w:rsidRPr="00B527D6">
        <w:t>утратившими</w:t>
      </w:r>
      <w:proofErr w:type="gramEnd"/>
      <w:r w:rsidR="00485DB0" w:rsidRPr="00B527D6">
        <w:t xml:space="preserve"> силу отдельных решений (положений решений) городского Совета Новосибирска";</w:t>
      </w:r>
    </w:p>
    <w:p w:rsidR="00485DB0" w:rsidRPr="00B527D6" w:rsidRDefault="00B527D6" w:rsidP="00B527D6">
      <w:pPr>
        <w:pStyle w:val="ConsPlusNormal"/>
        <w:spacing w:before="80"/>
        <w:ind w:firstLine="539"/>
        <w:jc w:val="both"/>
      </w:pPr>
      <w:hyperlink r:id="rId21" w:history="1">
        <w:r w:rsidR="00485DB0" w:rsidRPr="00B527D6">
          <w:t>решение</w:t>
        </w:r>
      </w:hyperlink>
      <w:r w:rsidR="00485DB0" w:rsidRPr="00B527D6">
        <w:t xml:space="preserve"> Совета депутатов города Новосибирска от 23.09.2009 </w:t>
      </w:r>
      <w:r w:rsidRPr="00B527D6">
        <w:t>№ </w:t>
      </w:r>
      <w:r w:rsidR="00485DB0" w:rsidRPr="00B527D6">
        <w:t xml:space="preserve">1363 "О внесении изменений в приложение к решению городского Совета Новосибирска от 25.10.2000 </w:t>
      </w:r>
      <w:r w:rsidRPr="00B527D6">
        <w:t>№ </w:t>
      </w:r>
      <w:r w:rsidR="00485DB0" w:rsidRPr="00B527D6">
        <w:t>371 "Об утверждении ставок налогов на имущество физических лиц";</w:t>
      </w:r>
    </w:p>
    <w:p w:rsidR="00485DB0" w:rsidRPr="00B527D6" w:rsidRDefault="00B527D6" w:rsidP="00B527D6">
      <w:pPr>
        <w:pStyle w:val="ConsPlusNormal"/>
        <w:spacing w:before="80"/>
        <w:ind w:firstLine="539"/>
        <w:jc w:val="both"/>
      </w:pPr>
      <w:hyperlink r:id="rId22" w:history="1">
        <w:r w:rsidR="00485DB0" w:rsidRPr="00B527D6">
          <w:t>решение</w:t>
        </w:r>
      </w:hyperlink>
      <w:r w:rsidR="00485DB0" w:rsidRPr="00B527D6">
        <w:t xml:space="preserve"> Совета депутатов города Новосибирска от 28.09.2010 </w:t>
      </w:r>
      <w:r w:rsidRPr="00B527D6">
        <w:t>№ </w:t>
      </w:r>
      <w:r w:rsidR="00485DB0" w:rsidRPr="00B527D6">
        <w:t xml:space="preserve">131 "О представлении заместителя прокурора Новосибирской области от 19.08.2010 </w:t>
      </w:r>
      <w:r w:rsidRPr="00B527D6">
        <w:t>№ </w:t>
      </w:r>
      <w:r w:rsidR="00485DB0" w:rsidRPr="00B527D6">
        <w:t xml:space="preserve">7-259-10 об устранении нарушений законодательства о налогах на имущество физических лиц и о внесении изменений в решение городского Совета Новосибирска от 25.10.2000 </w:t>
      </w:r>
      <w:r w:rsidRPr="00B527D6">
        <w:t>№ </w:t>
      </w:r>
      <w:r w:rsidR="00485DB0" w:rsidRPr="00B527D6">
        <w:t>371 "Об утверждении ставок налогов на имущество физических лиц";</w:t>
      </w:r>
    </w:p>
    <w:p w:rsidR="00485DB0" w:rsidRPr="00B527D6" w:rsidRDefault="00B527D6" w:rsidP="00B527D6">
      <w:pPr>
        <w:pStyle w:val="ConsPlusNormal"/>
        <w:spacing w:before="80"/>
        <w:ind w:firstLine="539"/>
        <w:jc w:val="both"/>
      </w:pPr>
      <w:hyperlink r:id="rId23" w:history="1">
        <w:r w:rsidR="00485DB0" w:rsidRPr="00B527D6">
          <w:t>решение</w:t>
        </w:r>
      </w:hyperlink>
      <w:r w:rsidR="00485DB0" w:rsidRPr="00B527D6">
        <w:t xml:space="preserve"> Совета депутатов города Новосибирска от 25.06.2014 </w:t>
      </w:r>
      <w:r w:rsidRPr="00B527D6">
        <w:t>№ </w:t>
      </w:r>
      <w:r w:rsidR="00485DB0" w:rsidRPr="00B527D6">
        <w:t xml:space="preserve">1135 "О внесении изменений в решение городского Совета Новосибирска от 25.10.2000 </w:t>
      </w:r>
      <w:r w:rsidRPr="00B527D6">
        <w:t>№ </w:t>
      </w:r>
      <w:r w:rsidR="00485DB0" w:rsidRPr="00B527D6">
        <w:t>371 "Об утверждении ставок налогов на имущество физических лиц".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lastRenderedPageBreak/>
        <w:t>9. Решение вступает в силу с 1 января 2015 года, но не ранее одного месяца со дня его официального опубликования.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 xml:space="preserve">10. В отношении налоговых периодов по налогу, истекших до 1 января 2015 года, применяются положения </w:t>
      </w:r>
      <w:hyperlink r:id="rId24" w:history="1">
        <w:r w:rsidRPr="00B527D6">
          <w:t>решения</w:t>
        </w:r>
      </w:hyperlink>
      <w:r w:rsidRPr="00B527D6">
        <w:t xml:space="preserve"> городского Совета Новосибирска от 25.10.2000 </w:t>
      </w:r>
      <w:r w:rsidR="00B527D6" w:rsidRPr="00B527D6">
        <w:t>№ </w:t>
      </w:r>
      <w:r w:rsidRPr="00B527D6">
        <w:t>371 "О ставках налога на имущество физических лиц и налоговых льготах по налогу на имущество физических лиц", действующего до дня вступления в силу настоящего решения.</w:t>
      </w: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  <w:r w:rsidRPr="00B527D6">
        <w:t xml:space="preserve">11. </w:t>
      </w:r>
      <w:proofErr w:type="gramStart"/>
      <w:r w:rsidRPr="00B527D6">
        <w:t>Контроль за</w:t>
      </w:r>
      <w:proofErr w:type="gramEnd"/>
      <w:r w:rsidRPr="00B527D6">
        <w:t xml:space="preserve"> исполнением решения возложить на постоянную комиссию Совета депутатов города Новосибирска по бюджету и налоговой политике (Черных В.В.).</w:t>
      </w:r>
    </w:p>
    <w:p w:rsidR="00B527D6" w:rsidRPr="00B527D6" w:rsidRDefault="00B527D6" w:rsidP="00B527D6">
      <w:pPr>
        <w:pStyle w:val="ConsPlusNormal"/>
        <w:spacing w:before="80"/>
        <w:ind w:firstLine="539"/>
        <w:jc w:val="both"/>
      </w:pPr>
    </w:p>
    <w:p w:rsidR="00485DB0" w:rsidRPr="00B527D6" w:rsidRDefault="00485DB0" w:rsidP="00B527D6">
      <w:pPr>
        <w:pStyle w:val="ConsPlusNormal"/>
        <w:spacing w:before="80"/>
        <w:ind w:firstLine="539"/>
        <w:jc w:val="both"/>
      </w:pPr>
    </w:p>
    <w:bookmarkEnd w:id="0"/>
    <w:p w:rsidR="00B527D6" w:rsidRDefault="00B527D6" w:rsidP="00B527D6">
      <w:pPr>
        <w:pStyle w:val="ConsPlusNormal"/>
        <w:ind w:firstLine="540"/>
        <w:jc w:val="both"/>
      </w:pPr>
    </w:p>
    <w:p w:rsidR="00485DB0" w:rsidRPr="00B527D6" w:rsidRDefault="00485DB0" w:rsidP="00B527D6">
      <w:pPr>
        <w:pStyle w:val="ConsPlusNormal"/>
        <w:jc w:val="right"/>
        <w:rPr>
          <w:i/>
        </w:rPr>
      </w:pPr>
      <w:r w:rsidRPr="00B527D6">
        <w:rPr>
          <w:i/>
        </w:rPr>
        <w:t>Председатель Совета депутатов</w:t>
      </w:r>
    </w:p>
    <w:p w:rsidR="00485DB0" w:rsidRPr="00B527D6" w:rsidRDefault="00485DB0" w:rsidP="00B527D6">
      <w:pPr>
        <w:pStyle w:val="ConsPlusNormal"/>
        <w:jc w:val="right"/>
        <w:rPr>
          <w:i/>
        </w:rPr>
      </w:pPr>
      <w:r w:rsidRPr="00B527D6">
        <w:rPr>
          <w:i/>
        </w:rPr>
        <w:t>города Новосибирска</w:t>
      </w:r>
    </w:p>
    <w:p w:rsidR="00485DB0" w:rsidRPr="00B527D6" w:rsidRDefault="00485DB0" w:rsidP="00B527D6">
      <w:pPr>
        <w:pStyle w:val="ConsPlusNormal"/>
        <w:jc w:val="right"/>
        <w:rPr>
          <w:i/>
        </w:rPr>
      </w:pPr>
      <w:r w:rsidRPr="00B527D6">
        <w:rPr>
          <w:i/>
        </w:rPr>
        <w:t>Д.В.</w:t>
      </w:r>
      <w:r w:rsidR="00B527D6">
        <w:rPr>
          <w:i/>
        </w:rPr>
        <w:t xml:space="preserve"> </w:t>
      </w:r>
      <w:proofErr w:type="spellStart"/>
      <w:r w:rsidR="00B527D6" w:rsidRPr="00B527D6">
        <w:rPr>
          <w:i/>
        </w:rPr>
        <w:t>Асанцев</w:t>
      </w:r>
      <w:proofErr w:type="spellEnd"/>
    </w:p>
    <w:p w:rsidR="00485DB0" w:rsidRPr="00B527D6" w:rsidRDefault="00485DB0" w:rsidP="00B527D6">
      <w:pPr>
        <w:pStyle w:val="ConsPlusNormal"/>
        <w:ind w:firstLine="540"/>
        <w:jc w:val="both"/>
        <w:rPr>
          <w:i/>
        </w:rPr>
      </w:pPr>
    </w:p>
    <w:p w:rsidR="00485DB0" w:rsidRPr="00B527D6" w:rsidRDefault="00485DB0" w:rsidP="00B527D6">
      <w:pPr>
        <w:pStyle w:val="ConsPlusNormal"/>
        <w:jc w:val="right"/>
        <w:rPr>
          <w:i/>
        </w:rPr>
      </w:pPr>
      <w:r w:rsidRPr="00B527D6">
        <w:rPr>
          <w:i/>
        </w:rPr>
        <w:t>Мэр города Новосибирска</w:t>
      </w:r>
    </w:p>
    <w:p w:rsidR="00980FC3" w:rsidRPr="00B527D6" w:rsidRDefault="00485DB0" w:rsidP="00B527D6">
      <w:pPr>
        <w:pStyle w:val="ConsPlusNormal"/>
        <w:jc w:val="right"/>
        <w:rPr>
          <w:i/>
        </w:rPr>
      </w:pPr>
      <w:r w:rsidRPr="00B527D6">
        <w:rPr>
          <w:i/>
        </w:rPr>
        <w:t>А.Е.</w:t>
      </w:r>
      <w:r w:rsidR="00B527D6">
        <w:rPr>
          <w:i/>
        </w:rPr>
        <w:t xml:space="preserve"> </w:t>
      </w:r>
      <w:r w:rsidR="00B527D6" w:rsidRPr="00B527D6">
        <w:rPr>
          <w:i/>
        </w:rPr>
        <w:t>Локоть</w:t>
      </w:r>
    </w:p>
    <w:sectPr w:rsidR="00980FC3" w:rsidRPr="00B527D6" w:rsidSect="00B527D6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B0"/>
    <w:rsid w:val="00485DB0"/>
    <w:rsid w:val="00561874"/>
    <w:rsid w:val="00B527D6"/>
    <w:rsid w:val="00B71A50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5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5D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5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5D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4CAD9B0D948AB924EFE29F0C0F4C0E29124F47D16FA55617A97BFFC20D74B82A2F6FC3D25D93470BB3D67B244602EE85ADE8CF8BF3FE6053F1L" TargetMode="External"/><Relationship Id="rId13" Type="http://schemas.openxmlformats.org/officeDocument/2006/relationships/hyperlink" Target="consultantplus://offline/ref=034CAD9B0D948AB924EFE29F0C0F4C0E29124D43D26BA55617A97BFFC20D74B8382F37CFD05B8C4100A6802A6151FAL" TargetMode="External"/><Relationship Id="rId18" Type="http://schemas.openxmlformats.org/officeDocument/2006/relationships/hyperlink" Target="consultantplus://offline/ref=034CAD9B0D948AB924EFFC921A6312072318164CD66BAA024CF620A295047EEF6D60369396089F4304A682287E110FED58FA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34CAD9B0D948AB924EFFC921A6312072318164CD469A70448F620A295047EEF6D60369396089F4304A682287E110FED58FAL" TargetMode="External"/><Relationship Id="rId7" Type="http://schemas.openxmlformats.org/officeDocument/2006/relationships/hyperlink" Target="consultantplus://offline/ref=034CAD9B0D948AB924EFE29F0C0F4C0E29124D43D26BA55617A97BFFC20D74B82A2F6FC1D055924A56E9C67F6D1109F283B1F6CF95F05FF7L" TargetMode="External"/><Relationship Id="rId12" Type="http://schemas.openxmlformats.org/officeDocument/2006/relationships/hyperlink" Target="consultantplus://offline/ref=034CAD9B0D948AB924EFE29F0C0F4C0E29124D41D064A55617A97BFFC20D74B82A2F6FCBD55B964A56E9C67F6D1109F283B1F6CF95F05FF7L" TargetMode="External"/><Relationship Id="rId17" Type="http://schemas.openxmlformats.org/officeDocument/2006/relationships/hyperlink" Target="consultantplus://offline/ref=034CAD9B0D948AB924EFFC921A6312072318164CD66FAF0148F620A295047EEF6D60369396089F4304A682287E110FED58FA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34CAD9B0D948AB924EFFC921A6312072318164CD66DA8044EF620A295047EEF6D60369396089F4304A682287E110FED58FAL" TargetMode="External"/><Relationship Id="rId20" Type="http://schemas.openxmlformats.org/officeDocument/2006/relationships/hyperlink" Target="consultantplus://offline/ref=034CAD9B0D948AB924EFFC921A6312072318164CD564A60648F620A295047EEF6D60369396089F4304A682287E110FED58F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4CAD9B0D948AB924EFFC921A6312072318164CD66CAC094BF87DA89D5D72ED6A6F699691199F4002B8822A65185BBDC7E6E5CF93EFFE63267D8EEF53FDL" TargetMode="External"/><Relationship Id="rId11" Type="http://schemas.openxmlformats.org/officeDocument/2006/relationships/hyperlink" Target="consultantplus://offline/ref=034CAD9B0D948AB924EFE29F0C0F4C0E29124D41D064A55617A97BFFC20D74B82A2F6FCBD05C9B4A56E9C67F6D1109F283B1F6CF95F05FF7L" TargetMode="External"/><Relationship Id="rId24" Type="http://schemas.openxmlformats.org/officeDocument/2006/relationships/hyperlink" Target="consultantplus://offline/ref=034CAD9B0D948AB924EFFC921A6312072318164CD06FA6094CF620A295047EEF6D60369396089F4304A682287E110FED58FAL" TargetMode="External"/><Relationship Id="rId5" Type="http://schemas.openxmlformats.org/officeDocument/2006/relationships/hyperlink" Target="consultantplus://offline/ref=034CAD9B0D948AB924EFFC921A6312072318164CDF69A8064DF620A295047EEF6D6036819650934102B8822F6B475EA8D6BEEACB8BF1FC7F3A7F8F5EF7L" TargetMode="External"/><Relationship Id="rId15" Type="http://schemas.openxmlformats.org/officeDocument/2006/relationships/hyperlink" Target="consultantplus://offline/ref=034CAD9B0D948AB924EFFC921A6312072318164CD06FA6094CF620A295047EEF6D60369396089F4304A682287E110FED58FAL" TargetMode="External"/><Relationship Id="rId23" Type="http://schemas.openxmlformats.org/officeDocument/2006/relationships/hyperlink" Target="consultantplus://offline/ref=034CAD9B0D948AB924EFFC921A6312072318164CD06FA6014FF620A295047EEF6D60369396089F4304A682287E110FED58FAL" TargetMode="External"/><Relationship Id="rId10" Type="http://schemas.openxmlformats.org/officeDocument/2006/relationships/hyperlink" Target="consultantplus://offline/ref=034CAD9B0D948AB924EFFC921A6312072318164CD66CAB064FFB7DA89D5D72ED6A6F699691199F4002B8812F64185BBDC7E6E5CF93EFFE63267D8EEF53FDL" TargetMode="External"/><Relationship Id="rId19" Type="http://schemas.openxmlformats.org/officeDocument/2006/relationships/hyperlink" Target="consultantplus://offline/ref=034CAD9B0D948AB924EFFC921A6312072318164CD56FAF064DF620A295047EEF6D60369396089F4304A682287E110FED58F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4CAD9B0D948AB924EFFC921A6312072318164CD068A60848F620A295047EEF6D60369396089F4304A682287E110FED58FAL" TargetMode="External"/><Relationship Id="rId14" Type="http://schemas.openxmlformats.org/officeDocument/2006/relationships/hyperlink" Target="consultantplus://offline/ref=034CAD9B0D948AB924EFE29F0C0F4C0E29124D41D064A55617A97BFFC20D74B82A2F6FC3D65E9B4809ECD36E351E0DEA9DB3EAD397F1FF56F8L" TargetMode="External"/><Relationship Id="rId22" Type="http://schemas.openxmlformats.org/officeDocument/2006/relationships/hyperlink" Target="consultantplus://offline/ref=034CAD9B0D948AB924EFFC921A6312072318164CD36CAB044CF620A295047EEF6D60369396089F4304A682287E110FED58F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2</cp:revision>
  <dcterms:created xsi:type="dcterms:W3CDTF">2019-02-27T01:28:00Z</dcterms:created>
  <dcterms:modified xsi:type="dcterms:W3CDTF">2019-02-27T01:28:00Z</dcterms:modified>
</cp:coreProperties>
</file>