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>Как получить и оплатить налоговое уведомление через ЕПГУ?</w:t>
      </w: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Pr="001E7D0A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Получение налоговых уведомлений через ЕПГУ возможно при соблюдении двух условий (пункт 1.2 статьи 21 НК РФ): </w:t>
      </w:r>
    </w:p>
    <w:p w:rsidR="00575AE1" w:rsidRPr="001E7D0A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>- налогоплательщик должен быть зарегистрирован в единой системе идентификац</w:t>
      </w:r>
      <w:proofErr w:type="gramStart"/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>ии и ау</w:t>
      </w:r>
      <w:proofErr w:type="gramEnd"/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тентификации на ЕПГУ; </w:t>
      </w:r>
    </w:p>
    <w:p w:rsidR="00575AE1" w:rsidRPr="001E7D0A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- налогоплательщик направил через ЕПГУ уведомление о необходимости получения документов от налоговых органов через ЕПГУ (форма такого уведомления утверждена приказом ФНС России от 12.05.2023 № ЕД-7-21/309@). </w:t>
      </w:r>
    </w:p>
    <w:p w:rsidR="00575AE1" w:rsidRPr="001E7D0A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На основании такого уведомления налоговый орган разместит в личном кабинете пользователя ЕПГУ адресованные ему налоговые уведомления. 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>Пользователь ЕПГУ сможет оплатить начисления налогов из налогового уведомления онлайн в личном кабинете ЕПГУ.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Pr="00021488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021488">
        <w:rPr>
          <w:color w:val="000000"/>
          <w:spacing w:val="5"/>
          <w:sz w:val="24"/>
          <w:szCs w:val="24"/>
        </w:rPr>
        <w:t>Можно ли на электронную почту получать налоговые уведомления об уплате имущественных налогов?</w:t>
      </w: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Налоговое </w:t>
      </w:r>
      <w:r w:rsidRPr="00021488">
        <w:rPr>
          <w:color w:val="000000"/>
          <w:spacing w:val="5"/>
          <w:sz w:val="24"/>
          <w:szCs w:val="24"/>
        </w:rPr>
        <w:t>уведомлени</w:t>
      </w:r>
      <w:r>
        <w:rPr>
          <w:color w:val="000000"/>
          <w:spacing w:val="5"/>
          <w:sz w:val="24"/>
          <w:szCs w:val="24"/>
        </w:rPr>
        <w:t>е не направляется на электронную почту налогоплательщика, так как там содержатся персональные данные</w:t>
      </w:r>
      <w:r w:rsidRPr="00021488">
        <w:rPr>
          <w:color w:val="000000"/>
          <w:spacing w:val="5"/>
          <w:sz w:val="24"/>
          <w:szCs w:val="24"/>
        </w:rPr>
        <w:t>, составля</w:t>
      </w:r>
      <w:r>
        <w:rPr>
          <w:color w:val="000000"/>
          <w:spacing w:val="5"/>
          <w:sz w:val="24"/>
          <w:szCs w:val="24"/>
        </w:rPr>
        <w:t>ющие</w:t>
      </w:r>
      <w:r w:rsidRPr="00021488">
        <w:rPr>
          <w:color w:val="000000"/>
          <w:spacing w:val="5"/>
          <w:sz w:val="24"/>
          <w:szCs w:val="24"/>
        </w:rPr>
        <w:t xml:space="preserve"> налоговую тайну</w:t>
      </w:r>
      <w:r>
        <w:rPr>
          <w:color w:val="000000"/>
          <w:spacing w:val="5"/>
          <w:sz w:val="24"/>
          <w:szCs w:val="24"/>
        </w:rPr>
        <w:t xml:space="preserve"> (с</w:t>
      </w:r>
      <w:r w:rsidRPr="00021488">
        <w:rPr>
          <w:color w:val="000000"/>
          <w:spacing w:val="5"/>
          <w:sz w:val="24"/>
          <w:szCs w:val="24"/>
        </w:rPr>
        <w:t>татья 102 Налогового кодекса Российской Федерации</w:t>
      </w:r>
      <w:r>
        <w:rPr>
          <w:color w:val="000000"/>
          <w:spacing w:val="5"/>
          <w:sz w:val="24"/>
          <w:szCs w:val="24"/>
        </w:rPr>
        <w:t>).</w:t>
      </w:r>
    </w:p>
    <w:p w:rsidR="00575AE1" w:rsidRPr="00021488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Pr="0043550C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>Почему мне в 202</w:t>
      </w:r>
      <w:r>
        <w:rPr>
          <w:color w:val="000000"/>
          <w:spacing w:val="5"/>
          <w:sz w:val="24"/>
          <w:szCs w:val="24"/>
        </w:rPr>
        <w:t>4</w:t>
      </w:r>
      <w:r w:rsidRPr="001E7D0A">
        <w:rPr>
          <w:color w:val="000000"/>
          <w:spacing w:val="5"/>
          <w:sz w:val="24"/>
          <w:szCs w:val="24"/>
        </w:rPr>
        <w:t xml:space="preserve"> году пришло налоговое уведомление на уплату транспортного налога, если я продал автомобиль в 202</w:t>
      </w:r>
      <w:r>
        <w:rPr>
          <w:color w:val="000000"/>
          <w:spacing w:val="5"/>
          <w:sz w:val="24"/>
          <w:szCs w:val="24"/>
        </w:rPr>
        <w:t>3</w:t>
      </w:r>
      <w:r w:rsidRPr="001E7D0A">
        <w:rPr>
          <w:color w:val="000000"/>
          <w:spacing w:val="5"/>
          <w:sz w:val="24"/>
          <w:szCs w:val="24"/>
        </w:rPr>
        <w:t xml:space="preserve"> году?</w:t>
      </w: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Pr="001E7D0A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>В 202</w:t>
      </w:r>
      <w:r>
        <w:rPr>
          <w:color w:val="000000"/>
          <w:spacing w:val="5"/>
          <w:sz w:val="24"/>
          <w:szCs w:val="24"/>
        </w:rPr>
        <w:t>4</w:t>
      </w:r>
      <w:r w:rsidRPr="001E7D0A">
        <w:rPr>
          <w:color w:val="000000"/>
          <w:spacing w:val="5"/>
          <w:sz w:val="24"/>
          <w:szCs w:val="24"/>
        </w:rPr>
        <w:t xml:space="preserve"> году налоговыми органами проводились начисления транспортного налога за 202</w:t>
      </w:r>
      <w:r>
        <w:rPr>
          <w:color w:val="000000"/>
          <w:spacing w:val="5"/>
          <w:sz w:val="24"/>
          <w:szCs w:val="24"/>
        </w:rPr>
        <w:t>3</w:t>
      </w:r>
      <w:r w:rsidRPr="001E7D0A">
        <w:rPr>
          <w:color w:val="000000"/>
          <w:spacing w:val="5"/>
          <w:sz w:val="24"/>
          <w:szCs w:val="24"/>
        </w:rPr>
        <w:t xml:space="preserve"> год по сроку уплаты </w:t>
      </w:r>
      <w:r>
        <w:rPr>
          <w:color w:val="000000"/>
          <w:spacing w:val="5"/>
          <w:sz w:val="24"/>
          <w:szCs w:val="24"/>
        </w:rPr>
        <w:t>2</w:t>
      </w:r>
      <w:r w:rsidRPr="001E7D0A">
        <w:rPr>
          <w:color w:val="000000"/>
          <w:spacing w:val="5"/>
          <w:sz w:val="24"/>
          <w:szCs w:val="24"/>
        </w:rPr>
        <w:t xml:space="preserve"> декабря 202</w:t>
      </w:r>
      <w:r>
        <w:rPr>
          <w:color w:val="000000"/>
          <w:spacing w:val="5"/>
          <w:sz w:val="24"/>
          <w:szCs w:val="24"/>
        </w:rPr>
        <w:t>4</w:t>
      </w:r>
      <w:r w:rsidRPr="001E7D0A">
        <w:rPr>
          <w:color w:val="000000"/>
          <w:spacing w:val="5"/>
          <w:sz w:val="24"/>
          <w:szCs w:val="24"/>
        </w:rPr>
        <w:t xml:space="preserve"> года. </w:t>
      </w:r>
    </w:p>
    <w:p w:rsidR="00575AE1" w:rsidRPr="001E7D0A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>В соответствии с пунктом 3 статьи 362 Налогового кодекса РФ в случае снятия транспортного средства с регистрации в течение налогового периода исчисление суммы налога производится с учетом коэффициента. Коэффициент определяется как отношение числа полных месяцев, в течение которых транспортное средство было зарегистрировано, к числу календарных месяцев в налоговом периоде.</w:t>
      </w:r>
    </w:p>
    <w:p w:rsidR="00575AE1" w:rsidRPr="001E7D0A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 xml:space="preserve">Если регистрация транспортного средства произошла до 15-го числа соответствующего месяца включительно или снятие транспортного средства с регистрации (снятие с учета, исключение из государственного судового реестра и так далее) произошло после 15-го числа соответствующего месяца, </w:t>
      </w:r>
      <w:proofErr w:type="gramStart"/>
      <w:r w:rsidRPr="001E7D0A">
        <w:rPr>
          <w:color w:val="000000"/>
          <w:spacing w:val="5"/>
          <w:sz w:val="24"/>
          <w:szCs w:val="24"/>
        </w:rPr>
        <w:t>за полный месяц</w:t>
      </w:r>
      <w:proofErr w:type="gramEnd"/>
      <w:r w:rsidRPr="001E7D0A">
        <w:rPr>
          <w:color w:val="000000"/>
          <w:spacing w:val="5"/>
          <w:sz w:val="24"/>
          <w:szCs w:val="24"/>
        </w:rPr>
        <w:t xml:space="preserve"> принимается месяц регистрации (снятия с регистрации) транспортного средства.</w:t>
      </w:r>
    </w:p>
    <w:p w:rsidR="00575AE1" w:rsidRPr="001E7D0A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>Если регистрация транспортного средства произошла после 15-го числа соответствующего месяца или снятие транспортного средства с регистрации (снятие с учета, исключение из государственного судового реестра и так далее) произошло до 15-го числа соответствующего месяца включительно, месяц регистрации (снятия с регистрации) транспортного средства не учитывается при определении коэффициента, указанного в настоящем пункте.</w:t>
      </w:r>
    </w:p>
    <w:p w:rsidR="00575AE1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1E7D0A">
        <w:rPr>
          <w:color w:val="000000"/>
          <w:spacing w:val="5"/>
          <w:sz w:val="24"/>
          <w:szCs w:val="24"/>
        </w:rPr>
        <w:t>В текущем году в налоговом уведомлении указан расчет транспортного налога, в том числе указан год, за который начислен налог (202</w:t>
      </w:r>
      <w:r>
        <w:rPr>
          <w:color w:val="000000"/>
          <w:spacing w:val="5"/>
          <w:sz w:val="24"/>
          <w:szCs w:val="24"/>
        </w:rPr>
        <w:t>3</w:t>
      </w:r>
      <w:r w:rsidRPr="001E7D0A">
        <w:rPr>
          <w:color w:val="000000"/>
          <w:spacing w:val="5"/>
          <w:sz w:val="24"/>
          <w:szCs w:val="24"/>
        </w:rPr>
        <w:t>) и указано количество месяцев, за которые начислен налог. Например, если транспортное средство снято с учета в регистрирующих органах 14.09.202</w:t>
      </w:r>
      <w:r>
        <w:rPr>
          <w:color w:val="000000"/>
          <w:spacing w:val="5"/>
          <w:sz w:val="24"/>
          <w:szCs w:val="24"/>
        </w:rPr>
        <w:t>3</w:t>
      </w:r>
      <w:r w:rsidRPr="001E7D0A">
        <w:rPr>
          <w:color w:val="000000"/>
          <w:spacing w:val="5"/>
          <w:sz w:val="24"/>
          <w:szCs w:val="24"/>
        </w:rPr>
        <w:t xml:space="preserve">, то количество </w:t>
      </w:r>
      <w:proofErr w:type="gramStart"/>
      <w:r w:rsidRPr="001E7D0A">
        <w:rPr>
          <w:color w:val="000000"/>
          <w:spacing w:val="5"/>
          <w:sz w:val="24"/>
          <w:szCs w:val="24"/>
        </w:rPr>
        <w:t>месяцев</w:t>
      </w:r>
      <w:proofErr w:type="gramEnd"/>
      <w:r w:rsidRPr="001E7D0A">
        <w:rPr>
          <w:color w:val="000000"/>
          <w:spacing w:val="5"/>
          <w:sz w:val="24"/>
          <w:szCs w:val="24"/>
        </w:rPr>
        <w:t xml:space="preserve"> за которые начислен налог должно быть указано 8/12</w:t>
      </w:r>
      <w:r w:rsidRPr="00F17F09">
        <w:rPr>
          <w:color w:val="000000"/>
          <w:spacing w:val="5"/>
          <w:sz w:val="24"/>
          <w:szCs w:val="24"/>
        </w:rPr>
        <w:t>.</w:t>
      </w:r>
    </w:p>
    <w:p w:rsidR="00575AE1" w:rsidRPr="00DA19FC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16"/>
          <w:szCs w:val="16"/>
        </w:rPr>
      </w:pPr>
    </w:p>
    <w:p w:rsidR="00575AE1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  <w:lang w:val="en-US"/>
        </w:rPr>
      </w:pPr>
    </w:p>
    <w:p w:rsidR="00575AE1" w:rsidRPr="003D1DD0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3D1DD0">
        <w:rPr>
          <w:b/>
          <w:color w:val="000000"/>
          <w:spacing w:val="5"/>
          <w:sz w:val="24"/>
          <w:szCs w:val="24"/>
        </w:rPr>
        <w:lastRenderedPageBreak/>
        <w:t>Вопрос налогоплательщика:</w:t>
      </w:r>
    </w:p>
    <w:p w:rsidR="00575AE1" w:rsidRPr="00807C1B" w:rsidRDefault="00575AE1" w:rsidP="00575AE1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  <w:highlight w:val="yellow"/>
        </w:rPr>
      </w:pPr>
      <w:r w:rsidRPr="00767BC6">
        <w:rPr>
          <w:color w:val="000000"/>
          <w:spacing w:val="5"/>
          <w:sz w:val="24"/>
          <w:szCs w:val="24"/>
        </w:rPr>
        <w:t>На основании, каких сведений производится начисление налога с выигрыша в казино</w:t>
      </w:r>
      <w:r w:rsidRPr="003D1DD0">
        <w:rPr>
          <w:color w:val="000000"/>
          <w:spacing w:val="5"/>
          <w:sz w:val="24"/>
          <w:szCs w:val="24"/>
        </w:rPr>
        <w:t>?</w:t>
      </w:r>
    </w:p>
    <w:p w:rsidR="00575AE1" w:rsidRPr="003D1DD0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3D1DD0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Pr="00767BC6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767BC6">
        <w:rPr>
          <w:color w:val="000000"/>
          <w:spacing w:val="5"/>
          <w:sz w:val="24"/>
          <w:szCs w:val="24"/>
        </w:rPr>
        <w:t>Налогоплательщики, получившие доходы в виде выигрышей от участия в азартных играх, проводимых в казино и залах игровых автоматов, уплачивают НДФЛ на основании полученного налогового уведомления. Такие суммы отражаются в отдельном разделе налогового уведомления.</w:t>
      </w:r>
    </w:p>
    <w:p w:rsidR="00564311" w:rsidRDefault="00575AE1" w:rsidP="00575AE1">
      <w:pPr>
        <w:rPr>
          <w:color w:val="000000"/>
          <w:spacing w:val="5"/>
          <w:sz w:val="24"/>
          <w:szCs w:val="24"/>
          <w:lang w:val="en-US"/>
        </w:rPr>
      </w:pPr>
      <w:r w:rsidRPr="00767BC6">
        <w:rPr>
          <w:color w:val="000000"/>
          <w:spacing w:val="5"/>
          <w:sz w:val="24"/>
          <w:szCs w:val="24"/>
        </w:rPr>
        <w:t>Налоговая база по доходам в виде таких выигрышей равна положительной разнице между суммой выигрыша и размерами ставок в течение года. Ее определение и исчисление суммы налога производятся на основании данных, полученных от организаторов азартных игр, проводимых в казино и залах игровых автоматов.</w:t>
      </w:r>
    </w:p>
    <w:p w:rsidR="00575AE1" w:rsidRDefault="00575AE1" w:rsidP="00575AE1">
      <w:pPr>
        <w:rPr>
          <w:color w:val="000000"/>
          <w:spacing w:val="5"/>
          <w:sz w:val="24"/>
          <w:szCs w:val="24"/>
          <w:lang w:val="en-US"/>
        </w:rPr>
      </w:pP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>
        <w:rPr>
          <w:rFonts w:ascii="pf_din_text_cond_proregular" w:hAnsi="pf_din_text_cond_proregular"/>
          <w:color w:val="000000"/>
          <w:spacing w:val="5"/>
          <w:sz w:val="24"/>
          <w:szCs w:val="24"/>
        </w:rPr>
        <w:t>В каком случае налоговое уведомление не направляется налогоплательщику</w:t>
      </w:r>
      <w:r w:rsidRPr="001E7D0A">
        <w:rPr>
          <w:rFonts w:ascii="pf_din_text_cond_proregular" w:hAnsi="pf_din_text_cond_proregular"/>
          <w:color w:val="000000"/>
          <w:spacing w:val="5"/>
          <w:sz w:val="24"/>
          <w:szCs w:val="24"/>
        </w:rPr>
        <w:t>?</w:t>
      </w: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>Если общая сумма налогов, исчисленных налоговым органом, - менее 300 руб., налоговое уведомление не направляется. Исключением является случай, когда по истечении календарного года налоговый орган утратит право направлять налоговое уведомление в связи с тем, что истекут три календарных года, предшествующие календарному году его направления (п. 4 ст. 52 НК РФ).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r>
        <w:rPr>
          <w:rFonts w:ascii="pf_din_text_cond_proregular" w:hAnsi="pf_din_text_cond_proregular"/>
          <w:color w:val="000000"/>
          <w:spacing w:val="5"/>
          <w:sz w:val="24"/>
          <w:szCs w:val="24"/>
        </w:rPr>
        <w:t>Также налоговое уведомление не направляется, если н</w:t>
      </w:r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алогоплательщик </w:t>
      </w:r>
      <w:r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имеет </w:t>
      </w:r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>права на</w:t>
      </w:r>
      <w:r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 налоговую</w:t>
      </w:r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 льготу</w:t>
      </w:r>
      <w:r>
        <w:rPr>
          <w:rFonts w:ascii="pf_din_text_cond_proregular" w:hAnsi="pf_din_text_cond_proregular"/>
          <w:color w:val="000000"/>
          <w:spacing w:val="5"/>
          <w:sz w:val="24"/>
          <w:szCs w:val="24"/>
        </w:rPr>
        <w:t>/вычет</w:t>
      </w:r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 xml:space="preserve"> (п. 1 ст. 56, ст. 361.1, п. 5 ст. 391, ст. 407 НК РФ).</w:t>
      </w:r>
    </w:p>
    <w:p w:rsidR="00575AE1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24"/>
          <w:szCs w:val="24"/>
        </w:rPr>
      </w:pPr>
      <w:proofErr w:type="gramStart"/>
      <w:r w:rsidRPr="00E30F5E">
        <w:rPr>
          <w:rFonts w:ascii="pf_din_text_cond_proregular" w:hAnsi="pf_din_text_cond_proregular"/>
          <w:color w:val="000000"/>
          <w:spacing w:val="5"/>
          <w:sz w:val="24"/>
          <w:szCs w:val="24"/>
        </w:rPr>
        <w:t>Ознакомиться с полным перечнем налоговых льгот (налоговых вычетов) по всем имущественным налогам, можно с помощью сервиса «Справочная информация о ставках и льготах по имущественным налогам», размещенном в разделе «Электронные услуги» официального интернет-сайта ФНС России www.nalog.gov.ru.</w:t>
      </w:r>
      <w:proofErr w:type="gramEnd"/>
    </w:p>
    <w:p w:rsidR="00575AE1" w:rsidRPr="006242BE" w:rsidRDefault="00575AE1" w:rsidP="00575AE1">
      <w:pPr>
        <w:spacing w:line="288" w:lineRule="atLeast"/>
        <w:ind w:firstLine="645"/>
        <w:jc w:val="both"/>
        <w:rPr>
          <w:rFonts w:ascii="pf_din_text_cond_proregular" w:hAnsi="pf_din_text_cond_proregular"/>
          <w:color w:val="000000"/>
          <w:spacing w:val="5"/>
          <w:sz w:val="16"/>
          <w:szCs w:val="16"/>
        </w:rPr>
      </w:pP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Pr="00021488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34C3">
        <w:rPr>
          <w:color w:val="000000"/>
          <w:spacing w:val="5"/>
          <w:sz w:val="24"/>
          <w:szCs w:val="24"/>
        </w:rPr>
        <w:t>Каков порядок налогообложения налогом на имущество физических лиц недвижимости, находящейся в собственности несовершеннолетних граждан</w:t>
      </w:r>
      <w:r w:rsidRPr="00021488">
        <w:rPr>
          <w:color w:val="000000"/>
          <w:spacing w:val="5"/>
          <w:sz w:val="24"/>
          <w:szCs w:val="24"/>
        </w:rPr>
        <w:t>?</w:t>
      </w:r>
    </w:p>
    <w:p w:rsidR="00575AE1" w:rsidRDefault="00575AE1" w:rsidP="00575AE1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Pr="00F934C3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34C3">
        <w:rPr>
          <w:color w:val="000000"/>
          <w:spacing w:val="5"/>
          <w:sz w:val="24"/>
          <w:szCs w:val="24"/>
        </w:rPr>
        <w:t>Налог на имущество за несовершеннолетнего уплачивают родители, усыновители, опекуны, попечители.</w:t>
      </w:r>
    </w:p>
    <w:p w:rsidR="00575AE1" w:rsidRPr="00F934C3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34C3">
        <w:rPr>
          <w:color w:val="000000"/>
          <w:spacing w:val="5"/>
          <w:sz w:val="24"/>
          <w:szCs w:val="24"/>
        </w:rPr>
        <w:t xml:space="preserve">Несовершеннолетние, имеющие в собственности недвижимость, облагаемую налогом на имущество, являются налогоплательщиками вне зависимости от возраста, имущественного положения и иных критериев, а также независимо от того, используется ли ими это имущество. </w:t>
      </w:r>
      <w:proofErr w:type="gramStart"/>
      <w:r w:rsidRPr="00F934C3">
        <w:rPr>
          <w:color w:val="000000"/>
          <w:spacing w:val="5"/>
          <w:sz w:val="24"/>
          <w:szCs w:val="24"/>
        </w:rPr>
        <w:t xml:space="preserve">Налогом на имущество облагаются жилые дома, квартиры, комнаты, гаражи, </w:t>
      </w:r>
      <w:proofErr w:type="spellStart"/>
      <w:r w:rsidRPr="00F934C3">
        <w:rPr>
          <w:color w:val="000000"/>
          <w:spacing w:val="5"/>
          <w:sz w:val="24"/>
          <w:szCs w:val="24"/>
        </w:rPr>
        <w:t>машино</w:t>
      </w:r>
      <w:proofErr w:type="spellEnd"/>
      <w:r w:rsidRPr="00F934C3">
        <w:rPr>
          <w:color w:val="000000"/>
          <w:spacing w:val="5"/>
          <w:sz w:val="24"/>
          <w:szCs w:val="24"/>
        </w:rPr>
        <w:t>-места, объекты незавершенного строительства, иные строения, здания, помещения и сооружения.</w:t>
      </w:r>
      <w:proofErr w:type="gramEnd"/>
      <w:r w:rsidRPr="00F934C3">
        <w:rPr>
          <w:color w:val="000000"/>
          <w:spacing w:val="5"/>
          <w:sz w:val="24"/>
          <w:szCs w:val="24"/>
        </w:rPr>
        <w:t xml:space="preserve"> Сведения об этом имуществе и его владельце налоговые органы получают от </w:t>
      </w:r>
      <w:proofErr w:type="spellStart"/>
      <w:r w:rsidRPr="00F934C3">
        <w:rPr>
          <w:color w:val="000000"/>
          <w:spacing w:val="5"/>
          <w:sz w:val="24"/>
          <w:szCs w:val="24"/>
        </w:rPr>
        <w:t>Росреестра</w:t>
      </w:r>
      <w:proofErr w:type="spellEnd"/>
      <w:r w:rsidRPr="00F934C3">
        <w:rPr>
          <w:color w:val="000000"/>
          <w:spacing w:val="5"/>
          <w:sz w:val="24"/>
          <w:szCs w:val="24"/>
        </w:rPr>
        <w:t xml:space="preserve"> (п. 4 ст. 85 НК РФ).</w:t>
      </w:r>
    </w:p>
    <w:p w:rsidR="00575AE1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proofErr w:type="gramStart"/>
      <w:r w:rsidRPr="00F934C3">
        <w:rPr>
          <w:color w:val="000000"/>
          <w:spacing w:val="5"/>
          <w:sz w:val="24"/>
          <w:szCs w:val="24"/>
        </w:rPr>
        <w:t>Родители (усыновители, опекуны, попечители) как законные представители несовершеннолетних детей, имеющих в собственности имущество, подлежащее налогообложению, осуществляют правомочия по управлению данным имуществом, в том числе исполняют обязанности по уплате налогов (ст. 26, п. 2 ст. 27, п. 1 ст. 45 НК РФ; ст. ст. 26, 28, 32, 33 ГК РФ).</w:t>
      </w:r>
      <w:proofErr w:type="gramEnd"/>
    </w:p>
    <w:p w:rsidR="00575AE1" w:rsidRPr="00DA19FC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16"/>
          <w:szCs w:val="16"/>
        </w:rPr>
      </w:pPr>
    </w:p>
    <w:p w:rsidR="00575AE1" w:rsidRPr="003D1DD0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3D1DD0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575AE1" w:rsidRPr="00807C1B" w:rsidRDefault="00575AE1" w:rsidP="00575AE1">
      <w:pPr>
        <w:spacing w:line="288" w:lineRule="atLeast"/>
        <w:ind w:firstLine="645"/>
        <w:jc w:val="both"/>
        <w:rPr>
          <w:color w:val="000000"/>
          <w:spacing w:val="5"/>
          <w:sz w:val="24"/>
          <w:szCs w:val="24"/>
          <w:highlight w:val="yellow"/>
        </w:rPr>
      </w:pPr>
      <w:r w:rsidRPr="00F934C3">
        <w:rPr>
          <w:color w:val="000000"/>
          <w:spacing w:val="5"/>
          <w:sz w:val="24"/>
          <w:szCs w:val="24"/>
        </w:rPr>
        <w:t xml:space="preserve">В налоговом уведомлении на </w:t>
      </w:r>
      <w:proofErr w:type="gramStart"/>
      <w:r w:rsidRPr="00F934C3">
        <w:rPr>
          <w:color w:val="000000"/>
          <w:spacing w:val="5"/>
          <w:sz w:val="24"/>
          <w:szCs w:val="24"/>
        </w:rPr>
        <w:t>основании</w:t>
      </w:r>
      <w:proofErr w:type="gramEnd"/>
      <w:r w:rsidRPr="00F934C3">
        <w:rPr>
          <w:color w:val="000000"/>
          <w:spacing w:val="5"/>
          <w:sz w:val="24"/>
          <w:szCs w:val="24"/>
        </w:rPr>
        <w:t xml:space="preserve"> каких документов исчисляется налог на доходы физических лиц, который не удержан налоговым агентом</w:t>
      </w:r>
      <w:r w:rsidRPr="003D1DD0">
        <w:rPr>
          <w:color w:val="000000"/>
          <w:spacing w:val="5"/>
          <w:sz w:val="24"/>
          <w:szCs w:val="24"/>
        </w:rPr>
        <w:t>?</w:t>
      </w:r>
    </w:p>
    <w:p w:rsidR="00575AE1" w:rsidRPr="003D1DD0" w:rsidRDefault="00575AE1" w:rsidP="00575AE1">
      <w:pPr>
        <w:spacing w:line="288" w:lineRule="atLeast"/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3D1DD0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575AE1" w:rsidRPr="00F934C3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34C3">
        <w:rPr>
          <w:color w:val="000000"/>
          <w:spacing w:val="5"/>
          <w:sz w:val="24"/>
          <w:szCs w:val="24"/>
        </w:rPr>
        <w:lastRenderedPageBreak/>
        <w:t xml:space="preserve">Раздел по НДФЛ налогового уведомления формируется налоговым </w:t>
      </w:r>
      <w:proofErr w:type="gramStart"/>
      <w:r w:rsidRPr="00F934C3">
        <w:rPr>
          <w:color w:val="000000"/>
          <w:spacing w:val="5"/>
          <w:sz w:val="24"/>
          <w:szCs w:val="24"/>
        </w:rPr>
        <w:t>органом</w:t>
      </w:r>
      <w:proofErr w:type="gramEnd"/>
      <w:r w:rsidRPr="00F934C3">
        <w:rPr>
          <w:color w:val="000000"/>
          <w:spacing w:val="5"/>
          <w:sz w:val="24"/>
          <w:szCs w:val="24"/>
        </w:rPr>
        <w:t xml:space="preserve"> на основании представленного налоговым агентом письменного сообщения о невозможности удержать налог (например, когда осуществлена выплата в натуральной форме, либо исполнено решение суда), о суммах дохода, с которого не удержан налог, и сумме неудержанного налога, в виде Справки о доходах и суммах налога физического лица.</w:t>
      </w:r>
    </w:p>
    <w:p w:rsidR="00575AE1" w:rsidRPr="00F934C3" w:rsidRDefault="00575AE1" w:rsidP="00575AE1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34C3">
        <w:rPr>
          <w:color w:val="000000"/>
          <w:spacing w:val="5"/>
          <w:sz w:val="24"/>
          <w:szCs w:val="24"/>
        </w:rPr>
        <w:t>Все Справки о доходах и суммах налога физического лица, представленные налоговыми агентами, отражаются в Интернет - сервисе ФНС России «Личный кабинет налогоплательщика физического лица».</w:t>
      </w:r>
    </w:p>
    <w:p w:rsidR="00575AE1" w:rsidRPr="00575AE1" w:rsidRDefault="00575AE1" w:rsidP="00575AE1">
      <w:r w:rsidRPr="00F934C3">
        <w:rPr>
          <w:color w:val="000000"/>
          <w:spacing w:val="5"/>
          <w:sz w:val="24"/>
          <w:szCs w:val="24"/>
        </w:rPr>
        <w:t>Уплатить в бюджет сумму неудержанного налога на доходы физических лиц за 2023 год необходимо не позднее 2 декабря 2024 года (т.к. 1 декабря - выходной день)</w:t>
      </w:r>
      <w:r w:rsidRPr="00767BC6">
        <w:rPr>
          <w:color w:val="000000"/>
          <w:spacing w:val="5"/>
          <w:sz w:val="24"/>
          <w:szCs w:val="24"/>
        </w:rPr>
        <w:t>.</w:t>
      </w:r>
      <w:bookmarkStart w:id="0" w:name="_GoBack"/>
      <w:bookmarkEnd w:id="0"/>
    </w:p>
    <w:sectPr w:rsidR="00575AE1" w:rsidRPr="0057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_din_text_cond_proregula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65"/>
    <w:rsid w:val="00575AE1"/>
    <w:rsid w:val="00931615"/>
    <w:rsid w:val="009D5948"/>
    <w:rsid w:val="00C9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E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E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2</cp:revision>
  <dcterms:created xsi:type="dcterms:W3CDTF">2024-11-27T02:42:00Z</dcterms:created>
  <dcterms:modified xsi:type="dcterms:W3CDTF">2024-11-27T02:44:00Z</dcterms:modified>
</cp:coreProperties>
</file>