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D7090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7090C" w:rsidRDefault="00D7090C" w:rsidP="00D7090C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93033" w:rsidRPr="002C23FE" w:rsidRDefault="00293033" w:rsidP="007B107F">
            <w:pPr>
              <w:rPr>
                <w:sz w:val="20"/>
              </w:rPr>
            </w:pPr>
            <w:r w:rsidRPr="002C23FE">
              <w:t xml:space="preserve">УТВЕРЖДАЮ                                                                                          Начальник ИФНС России по                                                                                                </w:t>
            </w:r>
            <w:proofErr w:type="gramStart"/>
            <w:r w:rsidRPr="002C23FE">
              <w:t>г</w:t>
            </w:r>
            <w:proofErr w:type="gramEnd"/>
            <w:r w:rsidRPr="002C23FE">
              <w:t xml:space="preserve">. Орску Оренбургской области                                                                                               ______________ </w:t>
            </w:r>
          </w:p>
          <w:p w:rsidR="00293033" w:rsidRPr="00E648DB" w:rsidRDefault="00293033" w:rsidP="007B107F">
            <w:r w:rsidRPr="002C23FE">
              <w:rPr>
                <w:sz w:val="20"/>
              </w:rPr>
              <w:t xml:space="preserve">                                                                                                 </w:t>
            </w:r>
            <w:r>
              <w:rPr>
                <w:sz w:val="20"/>
              </w:rPr>
              <w:t xml:space="preserve">         </w:t>
            </w:r>
            <w:r w:rsidRPr="002C23FE">
              <w:rPr>
                <w:sz w:val="20"/>
              </w:rPr>
              <w:t xml:space="preserve">   </w:t>
            </w:r>
            <w:r w:rsidRPr="00E648DB">
              <w:t>«____»______________201__.</w:t>
            </w:r>
          </w:p>
          <w:p w:rsidR="00D7090C" w:rsidRDefault="00D7090C" w:rsidP="00293033">
            <w:pPr>
              <w:pStyle w:val="a3"/>
              <w:jc w:val="center"/>
            </w:pPr>
          </w:p>
        </w:tc>
      </w:tr>
    </w:tbl>
    <w:p w:rsidR="00F27851" w:rsidRDefault="00D7090C" w:rsidP="00DE10D5">
      <w:pPr>
        <w:jc w:val="center"/>
        <w:rPr>
          <w:b/>
          <w:sz w:val="28"/>
          <w:szCs w:val="28"/>
        </w:rPr>
      </w:pPr>
      <w:r w:rsidRPr="00DE10D5">
        <w:rPr>
          <w:b/>
          <w:sz w:val="28"/>
          <w:szCs w:val="28"/>
        </w:rPr>
        <w:t>Должностной регламент</w:t>
      </w:r>
      <w:r w:rsidRPr="00DE10D5">
        <w:rPr>
          <w:b/>
          <w:sz w:val="28"/>
          <w:szCs w:val="28"/>
        </w:rPr>
        <w:br/>
        <w:t xml:space="preserve">старшего государственного налогового инспектора отдела </w:t>
      </w:r>
      <w:r w:rsidR="00F27851">
        <w:rPr>
          <w:b/>
          <w:sz w:val="28"/>
          <w:szCs w:val="28"/>
        </w:rPr>
        <w:t>у</w:t>
      </w:r>
      <w:r w:rsidR="00E15419" w:rsidRPr="00DE10D5">
        <w:rPr>
          <w:b/>
          <w:sz w:val="28"/>
          <w:szCs w:val="28"/>
        </w:rPr>
        <w:t xml:space="preserve">регулирования задолженности и обеспечения процедур банкротства </w:t>
      </w:r>
      <w:r w:rsidRPr="00DE10D5">
        <w:rPr>
          <w:b/>
          <w:sz w:val="28"/>
          <w:szCs w:val="28"/>
        </w:rPr>
        <w:t xml:space="preserve"> И</w:t>
      </w:r>
      <w:r w:rsidR="00DE10D5" w:rsidRPr="00DE10D5">
        <w:rPr>
          <w:b/>
          <w:sz w:val="28"/>
          <w:szCs w:val="28"/>
        </w:rPr>
        <w:t xml:space="preserve">нспекции </w:t>
      </w:r>
      <w:r w:rsidRPr="00DE10D5">
        <w:rPr>
          <w:b/>
          <w:sz w:val="28"/>
          <w:szCs w:val="28"/>
        </w:rPr>
        <w:t>Ф</w:t>
      </w:r>
      <w:r w:rsidR="00DE10D5" w:rsidRPr="00DE10D5">
        <w:rPr>
          <w:b/>
          <w:sz w:val="28"/>
          <w:szCs w:val="28"/>
        </w:rPr>
        <w:t xml:space="preserve">едеральной налоговой службы </w:t>
      </w:r>
      <w:r w:rsidRPr="00DE10D5">
        <w:rPr>
          <w:b/>
          <w:sz w:val="28"/>
          <w:szCs w:val="28"/>
        </w:rPr>
        <w:t xml:space="preserve">по </w:t>
      </w:r>
      <w:proofErr w:type="gramStart"/>
      <w:r w:rsidRPr="00DE10D5">
        <w:rPr>
          <w:b/>
          <w:sz w:val="28"/>
          <w:szCs w:val="28"/>
        </w:rPr>
        <w:t>г</w:t>
      </w:r>
      <w:proofErr w:type="gramEnd"/>
      <w:r w:rsidRPr="00DE10D5">
        <w:rPr>
          <w:b/>
          <w:sz w:val="28"/>
          <w:szCs w:val="28"/>
        </w:rPr>
        <w:t xml:space="preserve">. Орску  Оренбургской </w:t>
      </w:r>
      <w:r w:rsidR="00DE10D5" w:rsidRPr="00DE10D5">
        <w:rPr>
          <w:b/>
          <w:sz w:val="28"/>
          <w:szCs w:val="28"/>
        </w:rPr>
        <w:t>о</w:t>
      </w:r>
      <w:r w:rsidRPr="00DE10D5">
        <w:rPr>
          <w:b/>
          <w:sz w:val="28"/>
          <w:szCs w:val="28"/>
        </w:rPr>
        <w:t>бласти</w:t>
      </w:r>
      <w:r w:rsidR="00207FAF">
        <w:rPr>
          <w:b/>
          <w:sz w:val="28"/>
          <w:szCs w:val="28"/>
        </w:rPr>
        <w:t xml:space="preserve">     </w:t>
      </w:r>
    </w:p>
    <w:p w:rsidR="00D7090C" w:rsidRPr="00DE10D5" w:rsidRDefault="00D7090C" w:rsidP="00DE10D5">
      <w:pPr>
        <w:jc w:val="center"/>
        <w:rPr>
          <w:b/>
          <w:sz w:val="28"/>
          <w:szCs w:val="28"/>
        </w:rPr>
      </w:pPr>
      <w:r w:rsidRPr="00DE10D5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11-3-4-095</w:t>
      </w:r>
    </w:p>
    <w:p w:rsidR="00D7090C" w:rsidRPr="005B3901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7090C" w:rsidRDefault="00D7090C" w:rsidP="00D7090C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C54C0">
        <w:t xml:space="preserve">отдела </w:t>
      </w:r>
      <w:r w:rsidR="00E81405">
        <w:t>урегулирования задолженности и обеспечения процедур банкротства</w:t>
      </w:r>
      <w:r w:rsidRPr="00DC54C0">
        <w:t xml:space="preserve"> И</w:t>
      </w:r>
      <w:r w:rsidR="009A082A">
        <w:t>нспекции Федеральной налоговой службы</w:t>
      </w:r>
      <w:r w:rsidRPr="00DC54C0">
        <w:t xml:space="preserve"> по </w:t>
      </w:r>
      <w:proofErr w:type="gramStart"/>
      <w:r w:rsidRPr="00DC54C0">
        <w:t>г</w:t>
      </w:r>
      <w:proofErr w:type="gramEnd"/>
      <w:r w:rsidRPr="00DC54C0">
        <w:t>. Орску  Оренбургской области</w:t>
      </w:r>
      <w:r>
        <w:t xml:space="preserve">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7090C" w:rsidRDefault="00D7090C" w:rsidP="00D7090C">
      <w:pPr>
        <w:ind w:firstLine="720"/>
        <w:jc w:val="both"/>
      </w:pPr>
      <w:r>
        <w:t>2. Назначение на должность и освобождение от должности старшего государственного налогового инспектора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</w:t>
      </w:r>
      <w:r w:rsidR="00DE10D5">
        <w:t xml:space="preserve"> Орску Оренбургской области </w:t>
      </w:r>
      <w:r>
        <w:t>(далее - инспекция).</w:t>
      </w:r>
    </w:p>
    <w:p w:rsidR="00D7090C" w:rsidRDefault="00AE568B" w:rsidP="00D7090C">
      <w:pPr>
        <w:ind w:firstLine="720"/>
        <w:jc w:val="both"/>
      </w:pPr>
      <w:r>
        <w:t xml:space="preserve">3. </w:t>
      </w:r>
      <w:r w:rsidR="00D7090C">
        <w:t>Старший государственный налоговый инспектор непосредственно подчиняется начальнику отдела</w:t>
      </w:r>
      <w:r w:rsidR="00DE10D5">
        <w:t xml:space="preserve"> урегулирования задолженности и обеспечения процедур банкротства</w:t>
      </w:r>
      <w:r>
        <w:t xml:space="preserve"> ( далее – отдел)</w:t>
      </w:r>
      <w:r w:rsidR="00D7090C">
        <w:t>.</w:t>
      </w:r>
    </w:p>
    <w:p w:rsidR="00AE568B" w:rsidRDefault="00AE568B" w:rsidP="00AE568B">
      <w:pPr>
        <w:ind w:firstLine="720"/>
        <w:jc w:val="both"/>
      </w:pPr>
      <w:r>
        <w:t xml:space="preserve">4. В случае временного отсутствия старшего государственного налогового инспектора его обязанности </w:t>
      </w:r>
      <w:r w:rsidRPr="00CC2250">
        <w:t>исполняет старший госу</w:t>
      </w:r>
      <w:r>
        <w:t>дарственный налоговый инспектор</w:t>
      </w:r>
      <w:r w:rsidRPr="00A2714D">
        <w:t xml:space="preserve">. </w:t>
      </w:r>
      <w:r w:rsidRPr="00CC2250">
        <w:t>Старший государственный налоговый инспектор исполняет обязанности старшего государственного налогового инспектора, главного государственного инспектора во время их отсутствия.</w:t>
      </w:r>
    </w:p>
    <w:p w:rsidR="00AE568B" w:rsidRDefault="00AE568B" w:rsidP="00AE568B">
      <w:pPr>
        <w:ind w:firstLine="720"/>
        <w:jc w:val="both"/>
      </w:pPr>
      <w:r>
        <w:t xml:space="preserve">5. </w:t>
      </w:r>
      <w:proofErr w:type="gramStart"/>
      <w:r>
        <w:t xml:space="preserve">В своей деятельности старший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 урегулирования задолженности и обеспечения процедур банкротства, иными</w:t>
      </w:r>
      <w:proofErr w:type="gramEnd"/>
      <w:r>
        <w:t xml:space="preserve"> нормативными правовыми актами Российской Федерации.</w:t>
      </w:r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E568B" w:rsidRDefault="00AE568B" w:rsidP="00AE568B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AE568B" w:rsidRDefault="00AE568B" w:rsidP="00AE568B">
      <w:pPr>
        <w:ind w:firstLine="720"/>
        <w:jc w:val="both"/>
      </w:pPr>
      <w:r>
        <w:t>а) наличие высшего образования;</w:t>
      </w:r>
    </w:p>
    <w:p w:rsidR="00AE568B" w:rsidRDefault="00AE568B" w:rsidP="00AE568B">
      <w:pPr>
        <w:autoSpaceDE w:val="0"/>
        <w:autoSpaceDN w:val="0"/>
        <w:adjustRightInd w:val="0"/>
        <w:ind w:firstLine="720"/>
        <w:jc w:val="both"/>
      </w:pPr>
      <w:r>
        <w:t xml:space="preserve">б) наличие профессиональных знаний, включая знание </w:t>
      </w:r>
    </w:p>
    <w:p w:rsidR="00AE568B" w:rsidRDefault="008E6E75" w:rsidP="008A1D08">
      <w:pPr>
        <w:autoSpaceDE w:val="0"/>
        <w:autoSpaceDN w:val="0"/>
        <w:adjustRightInd w:val="0"/>
        <w:ind w:firstLine="720"/>
        <w:jc w:val="both"/>
      </w:pPr>
      <w:hyperlink r:id="rId5" w:history="1">
        <w:proofErr w:type="gramStart"/>
        <w:r w:rsidR="00AE568B" w:rsidRPr="00D477C0">
          <w:rPr>
            <w:rStyle w:val="aa"/>
            <w:color w:val="000000"/>
          </w:rPr>
          <w:t>Конституци</w:t>
        </w:r>
      </w:hyperlink>
      <w:r w:rsidR="00AE568B" w:rsidRPr="00D477C0">
        <w:rPr>
          <w:color w:val="000000"/>
        </w:rPr>
        <w:t>и</w:t>
      </w:r>
      <w:proofErr w:type="gramEnd"/>
      <w:r w:rsidR="00AE568B">
        <w:t xml:space="preserve"> Российской Федерации, федеральных конституционных законов, федеральных законов;</w:t>
      </w:r>
      <w:r w:rsidR="008A1D08">
        <w:t xml:space="preserve"> </w:t>
      </w:r>
      <w:r w:rsidR="00AE568B">
        <w:t xml:space="preserve">указов Президента Российской Федерации, постановлений Правительства Российской Федерации, иных нормативных правовых актов </w:t>
      </w:r>
      <w:r w:rsidR="00AE568B">
        <w:lastRenderedPageBreak/>
        <w:t>применительно к исполнению должностных обязанностей;</w:t>
      </w:r>
      <w:r w:rsidR="008A1D08">
        <w:t xml:space="preserve"> </w:t>
      </w:r>
      <w:r w:rsidR="00AE568B">
        <w:t>правовых основ прохождения федеральной государственной гражданской службы;</w:t>
      </w:r>
      <w:r w:rsidR="008A1D08">
        <w:t xml:space="preserve"> </w:t>
      </w:r>
      <w:r w:rsidR="00AE568B">
        <w:t>правил делового этикета, порядка работы с обращениями граждан;</w:t>
      </w:r>
      <w:r w:rsidR="008A1D08">
        <w:t xml:space="preserve"> </w:t>
      </w:r>
      <w:r w:rsidR="00AE568B">
        <w:t>правил и норм охраны труда, техники безопасности и противопожарной защиты;</w:t>
      </w:r>
      <w:r w:rsidR="008A1D08">
        <w:t xml:space="preserve"> </w:t>
      </w:r>
      <w:r w:rsidR="00AE568B">
        <w:t>служебного распорядка ИФНС России по г. Орску Оренбургской области;</w:t>
      </w:r>
      <w:r w:rsidR="008A1D08">
        <w:t xml:space="preserve"> </w:t>
      </w:r>
      <w:r w:rsidR="00AE568B">
        <w:t>порядка работы со служебной информацией, инструкции по делопроизводству;</w:t>
      </w:r>
      <w:r w:rsidR="008A1D08">
        <w:t xml:space="preserve"> </w:t>
      </w:r>
      <w:r w:rsidR="00AE568B">
        <w:t>аппаратного и программного обеспечения;</w:t>
      </w:r>
      <w:r w:rsidR="008A1D08">
        <w:t xml:space="preserve"> </w:t>
      </w:r>
      <w:r w:rsidR="00AE568B">
        <w:t xml:space="preserve">возможностей и особенностей </w:t>
      </w:r>
      <w:proofErr w:type="gramStart"/>
      <w:r w:rsidR="00AE568B">
        <w:t>применения</w:t>
      </w:r>
      <w:proofErr w:type="gramEnd"/>
      <w:r w:rsidR="00AE568B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 w:rsidR="008A1D08">
        <w:t xml:space="preserve"> </w:t>
      </w:r>
      <w:r w:rsidR="00AE568B">
        <w:t>общих вопросов в области обеспечения информационной безопасности;</w:t>
      </w:r>
      <w:r w:rsidR="008A1D08">
        <w:t xml:space="preserve"> </w:t>
      </w:r>
      <w:r w:rsidR="00AE568B">
        <w:t>должностного регламента;</w:t>
      </w:r>
      <w:r w:rsidR="008A1D08">
        <w:t xml:space="preserve"> </w:t>
      </w:r>
      <w:r w:rsidR="00AE568B">
        <w:t>основ управления и организации труда;</w:t>
      </w:r>
      <w:r w:rsidR="008A1D08">
        <w:t xml:space="preserve"> </w:t>
      </w:r>
      <w:r w:rsidR="00AE568B">
        <w:t xml:space="preserve">форм и методов работы с применением автоматизированных средств управления; </w:t>
      </w:r>
    </w:p>
    <w:p w:rsidR="00AE568B" w:rsidRDefault="00AE568B" w:rsidP="00AE568B">
      <w:pPr>
        <w:autoSpaceDE w:val="0"/>
        <w:autoSpaceDN w:val="0"/>
        <w:adjustRightInd w:val="0"/>
        <w:ind w:firstLine="720"/>
        <w:jc w:val="both"/>
      </w:pPr>
      <w:r>
        <w:t>в) наличие профессиональных навыков</w:t>
      </w:r>
    </w:p>
    <w:p w:rsidR="00AE568B" w:rsidRDefault="00AE568B" w:rsidP="00AE568B">
      <w:pPr>
        <w:autoSpaceDE w:val="0"/>
        <w:autoSpaceDN w:val="0"/>
        <w:adjustRightInd w:val="0"/>
        <w:ind w:firstLine="720"/>
        <w:jc w:val="both"/>
      </w:pPr>
      <w:r>
        <w:t>работы в сфере, соответствующей направлению деятельности структурного подразделения, выполнению поставленных задач;</w:t>
      </w:r>
      <w:r w:rsidR="008A1D08">
        <w:t xml:space="preserve"> </w:t>
      </w:r>
      <w:r>
        <w:t>квалифицированного планирования работы, экспертизы проектов нормативных правовых актов, подготовки служебных документов;</w:t>
      </w:r>
      <w:r w:rsidR="008A1D08">
        <w:t xml:space="preserve"> </w:t>
      </w:r>
      <w:r>
        <w:t>ведения делопроизводства, составления делового письма;</w:t>
      </w:r>
      <w:r w:rsidR="008A1D08">
        <w:t xml:space="preserve"> </w:t>
      </w:r>
      <w: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</w:t>
      </w:r>
      <w:r w:rsidR="009761D7">
        <w:t xml:space="preserve">; </w:t>
      </w:r>
      <w: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9761D7">
        <w:t xml:space="preserve"> </w:t>
      </w:r>
      <w:r>
        <w:t>управления электронной почтой;</w:t>
      </w:r>
      <w:r w:rsidR="009761D7">
        <w:t xml:space="preserve"> </w:t>
      </w:r>
      <w:r>
        <w:t>подготовки презентаций, использования графических объектов в электронных документах;</w:t>
      </w:r>
      <w:r w:rsidR="009761D7">
        <w:t xml:space="preserve"> </w:t>
      </w:r>
      <w:r>
        <w:t>использования опыта и мнения коллег.</w:t>
      </w:r>
    </w:p>
    <w:p w:rsidR="00AE568B" w:rsidRPr="00801793" w:rsidRDefault="00AE568B" w:rsidP="00AE568B">
      <w:pPr>
        <w:ind w:firstLine="720"/>
        <w:jc w:val="both"/>
      </w:pPr>
      <w:r>
        <w:t>Старший государственный налоговый инспектор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AE568B" w:rsidRDefault="008E6E75" w:rsidP="00AE568B">
      <w:pPr>
        <w:ind w:firstLine="720"/>
        <w:jc w:val="both"/>
      </w:pPr>
      <w:hyperlink r:id="rId6" w:history="1">
        <w:proofErr w:type="gramStart"/>
        <w:r w:rsidR="00AE568B" w:rsidRPr="00801793">
          <w:rPr>
            <w:bCs/>
          </w:rPr>
          <w:t>Конституцию</w:t>
        </w:r>
      </w:hyperlink>
      <w:r w:rsidR="00AE568B" w:rsidRPr="00801793">
        <w:t xml:space="preserve"> Российской Федерации, федеральные конституционные законы, федеральные законы, </w:t>
      </w:r>
      <w:r w:rsidR="00AE568B">
        <w:t>у</w:t>
      </w:r>
      <w:r w:rsidR="00AE568B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  <w:r w:rsidR="00AE568B">
        <w:t xml:space="preserve"> </w:t>
      </w:r>
      <w:r w:rsidR="00AE568B"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 w:rsidR="00AE568B">
        <w:t>управления</w:t>
      </w:r>
      <w:r w:rsidR="00AE568B" w:rsidRPr="00801793">
        <w:t>;</w:t>
      </w:r>
      <w:r w:rsidR="00AE568B">
        <w:t xml:space="preserve"> </w:t>
      </w:r>
      <w:r w:rsidR="00AE568B" w:rsidRPr="00801793">
        <w:t>приказы (распоряжения) Федеральной налоговой службы,</w:t>
      </w:r>
      <w:r w:rsidR="00AE568B">
        <w:t xml:space="preserve"> УФНС России по Оренбургской области,</w:t>
      </w:r>
      <w:r w:rsidR="00AE568B" w:rsidRPr="00801793">
        <w:t xml:space="preserve"> </w:t>
      </w:r>
      <w:r w:rsidR="00AE568B">
        <w:t>инспекции</w:t>
      </w:r>
      <w:r w:rsidR="00AE568B" w:rsidRPr="00801793">
        <w:t xml:space="preserve"> </w:t>
      </w:r>
      <w:r w:rsidR="00AE568B">
        <w:t>применительно к исполнению своих должностных обязанностей</w:t>
      </w:r>
      <w:r w:rsidR="00AE568B" w:rsidRPr="00801793">
        <w:t>.</w:t>
      </w:r>
      <w:proofErr w:type="gramEnd"/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7090C" w:rsidRDefault="00943D8E" w:rsidP="00D7090C">
      <w:pPr>
        <w:ind w:firstLine="720"/>
        <w:jc w:val="both"/>
      </w:pPr>
      <w:r>
        <w:t>7</w:t>
      </w:r>
      <w:r w:rsidR="00D7090C">
        <w:t xml:space="preserve">. 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D7090C" w:rsidRPr="00E07892">
          <w:rPr>
            <w:bCs/>
          </w:rPr>
          <w:t>статьями 14</w:t>
        </w:r>
      </w:hyperlink>
      <w:r w:rsidR="00D7090C" w:rsidRPr="00E07892">
        <w:t xml:space="preserve">, </w:t>
      </w:r>
      <w:hyperlink r:id="rId8" w:history="1">
        <w:r w:rsidR="00D7090C" w:rsidRPr="00E07892">
          <w:rPr>
            <w:bCs/>
          </w:rPr>
          <w:t>15</w:t>
        </w:r>
      </w:hyperlink>
      <w:r w:rsidR="00D7090C" w:rsidRPr="00E07892">
        <w:t xml:space="preserve">, </w:t>
      </w:r>
      <w:hyperlink r:id="rId9" w:history="1">
        <w:r w:rsidR="00D7090C" w:rsidRPr="00E07892">
          <w:rPr>
            <w:bCs/>
          </w:rPr>
          <w:t>17</w:t>
        </w:r>
      </w:hyperlink>
      <w:r w:rsidR="00D7090C" w:rsidRPr="00E07892">
        <w:t xml:space="preserve">, </w:t>
      </w:r>
      <w:hyperlink r:id="rId10" w:history="1">
        <w:r w:rsidR="00D7090C" w:rsidRPr="00E07892">
          <w:rPr>
            <w:bCs/>
          </w:rPr>
          <w:t>18</w:t>
        </w:r>
      </w:hyperlink>
      <w:r w:rsidR="00D7090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7090C">
          <w:t>2004 г</w:t>
        </w:r>
      </w:smartTag>
      <w:r w:rsidR="00D7090C">
        <w:t>. № 79-ФЗ "О государственной гражданской службе Российской Федерации".</w:t>
      </w:r>
    </w:p>
    <w:p w:rsidR="00D7090C" w:rsidRDefault="00943D8E" w:rsidP="00D7090C">
      <w:pPr>
        <w:ind w:firstLine="720"/>
        <w:jc w:val="both"/>
      </w:pPr>
      <w:r>
        <w:rPr>
          <w:szCs w:val="26"/>
        </w:rPr>
        <w:t>8</w:t>
      </w:r>
      <w:r w:rsidR="00DE10D5">
        <w:rPr>
          <w:szCs w:val="26"/>
        </w:rPr>
        <w:t xml:space="preserve">. </w:t>
      </w:r>
      <w:proofErr w:type="gramStart"/>
      <w:r w:rsidR="00D7090C">
        <w:rPr>
          <w:szCs w:val="26"/>
        </w:rPr>
        <w:t xml:space="preserve">Старший государственный налоговый инспектор </w:t>
      </w:r>
      <w:r w:rsidR="00D7090C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D7090C" w:rsidRPr="00AB2F87">
        <w:t>утвержденным постановлением Правительства Российской</w:t>
      </w:r>
      <w:r w:rsidR="00D7090C">
        <w:t xml:space="preserve"> </w:t>
      </w:r>
      <w:r w:rsidR="00D7090C" w:rsidRPr="00AB2F87">
        <w:t>Федерации</w:t>
      </w:r>
      <w:r w:rsidR="00D7090C">
        <w:t xml:space="preserve"> </w:t>
      </w:r>
      <w:r w:rsidR="00D7090C" w:rsidRPr="00AB2F87">
        <w:t>от</w:t>
      </w:r>
      <w:r w:rsidR="00D7090C">
        <w:t xml:space="preserve"> </w:t>
      </w:r>
      <w:r w:rsidR="00D7090C" w:rsidRPr="00AB2F87">
        <w:t>30 сентября</w:t>
      </w:r>
      <w:r w:rsidR="00D7090C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D7090C" w:rsidRPr="00AB2F87">
          <w:t>2004</w:t>
        </w:r>
        <w:r w:rsidR="00D7090C">
          <w:t xml:space="preserve"> </w:t>
        </w:r>
        <w:r w:rsidR="00D7090C" w:rsidRPr="00AB2F87">
          <w:t>г</w:t>
        </w:r>
      </w:smartTag>
      <w:r w:rsidR="00D7090C" w:rsidRPr="00AB2F87">
        <w:t>. № 506</w:t>
      </w:r>
      <w:r w:rsidR="00D7090C"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333CBB">
        <w:t>13</w:t>
      </w:r>
      <w:r w:rsidR="00D7090C">
        <w:t>»_</w:t>
      </w:r>
      <w:r w:rsidR="00333CBB">
        <w:t>мая</w:t>
      </w:r>
      <w:r w:rsidR="00D7090C">
        <w:t>__20</w:t>
      </w:r>
      <w:r w:rsidR="00AE568B">
        <w:t>1</w:t>
      </w:r>
      <w:r w:rsidR="00333CBB">
        <w:t>5</w:t>
      </w:r>
      <w:r w:rsidR="00D7090C">
        <w:t xml:space="preserve"> г., положением об отделе</w:t>
      </w:r>
      <w:r w:rsidR="00DE10D5">
        <w:t xml:space="preserve"> урегулирования задолженности</w:t>
      </w:r>
      <w:proofErr w:type="gramEnd"/>
      <w:r w:rsidR="00DE10D5">
        <w:t xml:space="preserve"> и обеспечения процедур банкротства</w:t>
      </w:r>
      <w:r w:rsidR="00D7090C"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7C7E64" w:rsidRPr="007C7E64" w:rsidRDefault="00D7090C" w:rsidP="007C7E64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Орску Оренбургской области на </w:t>
      </w:r>
      <w:r>
        <w:rPr>
          <w:szCs w:val="26"/>
        </w:rPr>
        <w:t xml:space="preserve">старшего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7C7E64" w:rsidRDefault="007C7E64" w:rsidP="007C7E64">
      <w:pPr>
        <w:jc w:val="both"/>
      </w:pPr>
      <w:r>
        <w:t>- обеспечивать выполнение возложенных на Отдел задач и функций;</w:t>
      </w:r>
    </w:p>
    <w:p w:rsidR="009570C0" w:rsidRPr="00CB16B0" w:rsidRDefault="009570C0" w:rsidP="009570C0">
      <w:pPr>
        <w:jc w:val="both"/>
      </w:pPr>
      <w:r w:rsidRPr="00CB16B0">
        <w:t xml:space="preserve">-осуществлять </w:t>
      </w:r>
      <w:proofErr w:type="gramStart"/>
      <w:r w:rsidRPr="00CB16B0">
        <w:t>контроль за</w:t>
      </w:r>
      <w:proofErr w:type="gramEnd"/>
      <w:r w:rsidRPr="00CB16B0">
        <w:t xml:space="preserve"> соблюдением трудового законодательства и законодательства о государственной гражданской службе, а также принятых в соответствии с ними нормативных правовых актов;</w:t>
      </w:r>
    </w:p>
    <w:p w:rsidR="009570C0" w:rsidRPr="00CB16B0" w:rsidRDefault="009570C0" w:rsidP="009570C0">
      <w:pPr>
        <w:autoSpaceDE w:val="0"/>
        <w:autoSpaceDN w:val="0"/>
        <w:adjustRightInd w:val="0"/>
        <w:spacing w:line="240" w:lineRule="atLeast"/>
        <w:jc w:val="both"/>
      </w:pPr>
      <w:r w:rsidRPr="00CB16B0">
        <w:rPr>
          <w:color w:val="000000"/>
          <w:sz w:val="28"/>
          <w:szCs w:val="28"/>
        </w:rPr>
        <w:lastRenderedPageBreak/>
        <w:t xml:space="preserve">- </w:t>
      </w:r>
      <w:r>
        <w:t>представлять интересы Российской Федерации в делах о банкротстве, инициировать процедуры банкротства в отношении юридических лиц и индивидуальных предпринимателей</w:t>
      </w:r>
      <w:r w:rsidRPr="00CB16B0">
        <w:t>;</w:t>
      </w:r>
    </w:p>
    <w:p w:rsidR="009570C0" w:rsidRPr="00CB16B0" w:rsidRDefault="009570C0" w:rsidP="009570C0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привлекать к административной и субсидиарной ответственности должностных лиц организаций; </w:t>
      </w:r>
      <w:r w:rsidRPr="00CB16B0">
        <w:rPr>
          <w:rFonts w:ascii="Times New Roman" w:hAnsi="Times New Roman"/>
          <w:sz w:val="24"/>
          <w:szCs w:val="28"/>
        </w:rPr>
        <w:t xml:space="preserve"> 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>- обеспечивать  взаимозаменяемость специалистов</w:t>
      </w:r>
      <w:r w:rsidRPr="00E07892">
        <w:t xml:space="preserve"> </w:t>
      </w:r>
      <w:r>
        <w:t>в целях неукоснительного выполнения поставленных перед отделом задач</w:t>
      </w:r>
      <w:r w:rsidRPr="00CB16B0">
        <w:t>;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>-  представлять в установленном порядке и в надлежащие сроки в Управление отчеты о проделанной работе за соответствующий период;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16B0">
        <w:t xml:space="preserve">  - принимать меры по рациональному использованию знаний и опыта подчиненных государственных служащих, повышению их квалификации и созданию необходимых</w:t>
      </w:r>
      <w:r w:rsidRPr="00CB16B0">
        <w:rPr>
          <w:szCs w:val="28"/>
        </w:rPr>
        <w:t xml:space="preserve"> условий труда;</w:t>
      </w:r>
    </w:p>
    <w:p w:rsidR="009570C0" w:rsidRPr="00CB16B0" w:rsidRDefault="009570C0" w:rsidP="009570C0">
      <w:pPr>
        <w:jc w:val="both"/>
      </w:pPr>
      <w:r w:rsidRPr="00CB16B0">
        <w:t>- участвовать в мероприятиях по индивидуальному и публичному информированию налогоплательщиков;</w:t>
      </w:r>
    </w:p>
    <w:p w:rsidR="009570C0" w:rsidRPr="00CB16B0" w:rsidRDefault="009570C0" w:rsidP="009570C0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>- принимать участие в рассмотрении заявлений, предложений, жалоб граждан, предприятий, учреждений и организаций по вопросам налогообложения и жалоб на действия подчиненных должностных лиц;</w:t>
      </w:r>
    </w:p>
    <w:p w:rsidR="009570C0" w:rsidRPr="00CB16B0" w:rsidRDefault="009570C0" w:rsidP="009570C0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 - 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9570C0" w:rsidRDefault="009570C0" w:rsidP="009570C0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-  выполнять другие поручения </w:t>
      </w:r>
      <w:r>
        <w:rPr>
          <w:rFonts w:ascii="Times New Roman" w:hAnsi="Times New Roman"/>
          <w:sz w:val="24"/>
          <w:szCs w:val="28"/>
        </w:rPr>
        <w:t>начальника отдела связанные с направлением работы по учету налогоплательщиков и актуализации баз данных;</w:t>
      </w:r>
    </w:p>
    <w:p w:rsidR="009570C0" w:rsidRPr="00CB16B0" w:rsidRDefault="009570C0" w:rsidP="009570C0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CB16B0">
        <w:rPr>
          <w:rFonts w:ascii="Times New Roman" w:hAnsi="Times New Roman"/>
          <w:sz w:val="24"/>
          <w:szCs w:val="28"/>
        </w:rPr>
        <w:t>выполнять другие поручения руководства инспекции и отдела, не отраженные выше;</w:t>
      </w:r>
    </w:p>
    <w:p w:rsidR="009570C0" w:rsidRPr="00CB16B0" w:rsidRDefault="009570C0" w:rsidP="009570C0">
      <w:pPr>
        <w:jc w:val="both"/>
      </w:pPr>
      <w:r w:rsidRPr="00CB16B0">
        <w:t>- осуществлять работу на компьютере, в том числе распечатку и выемку нормативных и рабочих материалов;</w:t>
      </w:r>
    </w:p>
    <w:p w:rsidR="009570C0" w:rsidRPr="00CB16B0" w:rsidRDefault="009570C0" w:rsidP="009570C0">
      <w:pPr>
        <w:jc w:val="both"/>
      </w:pPr>
      <w:r w:rsidRPr="00CB16B0">
        <w:t xml:space="preserve">-  рационально использовать  знания и опыт государственных служащих Отдела, повышать </w:t>
      </w:r>
      <w:r>
        <w:t>их</w:t>
      </w:r>
      <w:r w:rsidRPr="00CB16B0">
        <w:t xml:space="preserve"> квалификацию;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>- соблюдать правила  внутреннего служебного распорядка и дисциплину труда при выполнении должностных обязанностей и полномочий;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 xml:space="preserve">- осуществлять </w:t>
      </w:r>
      <w:proofErr w:type="gramStart"/>
      <w:r w:rsidRPr="00CB16B0">
        <w:t>контроль за</w:t>
      </w:r>
      <w:proofErr w:type="gramEnd"/>
      <w:r w:rsidRPr="00CB16B0">
        <w:t xml:space="preserve"> ведением делопроизводства, сохранностью документов в отделе;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>- обеспечивать сохранность служебного удостоверения;</w:t>
      </w:r>
    </w:p>
    <w:p w:rsidR="009570C0" w:rsidRPr="00CB16B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 xml:space="preserve">- 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9570C0" w:rsidRDefault="009570C0" w:rsidP="009570C0">
      <w:pPr>
        <w:widowControl w:val="0"/>
        <w:autoSpaceDE w:val="0"/>
        <w:autoSpaceDN w:val="0"/>
        <w:adjustRightInd w:val="0"/>
        <w:jc w:val="both"/>
      </w:pPr>
      <w:r w:rsidRPr="00CB16B0"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 Инспекции.</w:t>
      </w:r>
    </w:p>
    <w:p w:rsidR="00293033" w:rsidRPr="00140F0C" w:rsidRDefault="00293033" w:rsidP="00293033">
      <w:pPr>
        <w:autoSpaceDE w:val="0"/>
        <w:autoSpaceDN w:val="0"/>
        <w:adjustRightInd w:val="0"/>
        <w:rPr>
          <w:color w:val="000000"/>
        </w:rPr>
      </w:pPr>
      <w:r w:rsidRPr="00140F0C">
        <w:rPr>
          <w:color w:val="000000"/>
        </w:rPr>
        <w:t xml:space="preserve">-  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7C7E64" w:rsidRDefault="007C7E64" w:rsidP="007C7E64">
      <w:pPr>
        <w:jc w:val="both"/>
      </w:pPr>
      <w:r>
        <w:t>-  рационально использовать  знания и опыт, повышать свою квалификацию;</w:t>
      </w:r>
    </w:p>
    <w:p w:rsidR="007C7E64" w:rsidRDefault="007C7E64" w:rsidP="007C7E64">
      <w:pPr>
        <w:jc w:val="both"/>
      </w:pPr>
      <w:r>
        <w:t>-  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7C7E64" w:rsidRDefault="007C7E64" w:rsidP="007C7E64">
      <w:pPr>
        <w:widowControl w:val="0"/>
        <w:autoSpaceDE w:val="0"/>
        <w:autoSpaceDN w:val="0"/>
        <w:adjustRightInd w:val="0"/>
        <w:jc w:val="both"/>
      </w:pPr>
      <w:r>
        <w:t>-   обеспечивать сохранность служебного удостоверения;</w:t>
      </w:r>
    </w:p>
    <w:p w:rsidR="007C7E64" w:rsidRDefault="007C7E64" w:rsidP="007C7E64">
      <w:pPr>
        <w:widowControl w:val="0"/>
        <w:autoSpaceDE w:val="0"/>
        <w:autoSpaceDN w:val="0"/>
        <w:adjustRightInd w:val="0"/>
        <w:jc w:val="both"/>
      </w:pPr>
      <w:r>
        <w:t xml:space="preserve">-  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7C7E64" w:rsidRDefault="007C7E64" w:rsidP="007C7E64">
      <w:pPr>
        <w:widowControl w:val="0"/>
        <w:autoSpaceDE w:val="0"/>
        <w:autoSpaceDN w:val="0"/>
        <w:adjustRightInd w:val="0"/>
        <w:jc w:val="both"/>
      </w:pPr>
      <w:r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AE568B" w:rsidRDefault="00AE568B" w:rsidP="00AE568B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AE568B" w:rsidRDefault="00AE568B" w:rsidP="00AE568B">
      <w:pPr>
        <w:ind w:firstLine="708"/>
        <w:jc w:val="both"/>
      </w:pPr>
      <w:r>
        <w:t xml:space="preserve">Старший государственный налоговый инспектор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AE568B" w:rsidRDefault="00AE568B" w:rsidP="00AE568B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AE568B" w:rsidRDefault="00AE568B" w:rsidP="00AE568B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lastRenderedPageBreak/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 Инспекции,</w:t>
      </w:r>
    </w:p>
    <w:p w:rsidR="00AE568B" w:rsidRDefault="00AE568B" w:rsidP="00AE568B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работы,</w:t>
      </w:r>
    </w:p>
    <w:p w:rsidR="00AE568B" w:rsidRDefault="00AE568B" w:rsidP="00AE568B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AE568B" w:rsidRDefault="00AE568B" w:rsidP="00AE568B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9E58A6" w:rsidRDefault="00943D8E" w:rsidP="009E58A6">
      <w:pPr>
        <w:ind w:firstLine="720"/>
        <w:jc w:val="both"/>
      </w:pPr>
      <w:r>
        <w:t>10</w:t>
      </w:r>
      <w:r w:rsidR="009E58A6">
        <w:t xml:space="preserve">. При исполнении служебных обязанностей старший государственный налоговый инспектор отдела </w:t>
      </w:r>
      <w:r w:rsidR="00E173B1">
        <w:t xml:space="preserve"> урегулирования задолженности и обеспечения процедур банкротства </w:t>
      </w:r>
      <w:r w:rsidR="009E58A6">
        <w:t>вправе самостоятельно принимать решения по вопросам:</w:t>
      </w:r>
    </w:p>
    <w:p w:rsidR="009E58A6" w:rsidRPr="002E74A2" w:rsidRDefault="009E58A6" w:rsidP="009E58A6">
      <w:pPr>
        <w:ind w:firstLine="720"/>
        <w:jc w:val="both"/>
      </w:pPr>
      <w:r w:rsidRPr="002E74A2"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9E58A6" w:rsidRPr="002E74A2" w:rsidRDefault="009E58A6" w:rsidP="009E58A6">
      <w:pPr>
        <w:ind w:firstLine="720"/>
        <w:jc w:val="both"/>
      </w:pPr>
      <w:r w:rsidRPr="002E74A2">
        <w:t>- отказывать в приеме документов, оформленных ненадлежащим образом;</w:t>
      </w:r>
    </w:p>
    <w:p w:rsidR="009E58A6" w:rsidRPr="002E74A2" w:rsidRDefault="009E58A6" w:rsidP="009E58A6">
      <w:pPr>
        <w:ind w:firstLine="720"/>
        <w:jc w:val="both"/>
      </w:pPr>
      <w:r w:rsidRPr="002E74A2"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D7090C" w:rsidRDefault="00943D8E" w:rsidP="00D7090C">
      <w:pPr>
        <w:ind w:firstLine="720"/>
        <w:jc w:val="both"/>
      </w:pPr>
      <w:r>
        <w:t>11</w:t>
      </w:r>
      <w:r w:rsidR="00D7090C">
        <w:t>. При исполнении служебных обязанностей старший</w:t>
      </w:r>
      <w:r w:rsidR="00D7090C" w:rsidRPr="00D60812">
        <w:t xml:space="preserve"> государственный налоговый инспектор </w:t>
      </w:r>
      <w:r w:rsidR="00D7090C">
        <w:t>отдела обязан самостоятельно принимать решения по вопросам:</w:t>
      </w:r>
    </w:p>
    <w:p w:rsidR="00D7090C" w:rsidRDefault="00D7090C" w:rsidP="00D7090C">
      <w:pPr>
        <w:snapToGrid w:val="0"/>
        <w:jc w:val="both"/>
      </w:pPr>
      <w:r>
        <w:t xml:space="preserve">          - подготовки, сбора и анализа закрепленной отчетности для представления в УФНС </w:t>
      </w:r>
    </w:p>
    <w:p w:rsidR="00D7090C" w:rsidRDefault="00D7090C" w:rsidP="00D7090C">
      <w:pPr>
        <w:snapToGrid w:val="0"/>
        <w:jc w:val="both"/>
      </w:pPr>
      <w:r>
        <w:t xml:space="preserve">             России по Оренбургской области; </w:t>
      </w:r>
    </w:p>
    <w:p w:rsidR="00D7090C" w:rsidRDefault="00D7090C" w:rsidP="00D7090C">
      <w:pPr>
        <w:snapToGrid w:val="0"/>
        <w:jc w:val="both"/>
      </w:pPr>
      <w:r>
        <w:t xml:space="preserve">          - 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D7090C" w:rsidRDefault="00D7090C" w:rsidP="00D7090C">
      <w:pPr>
        <w:snapToGrid w:val="0"/>
        <w:jc w:val="both"/>
      </w:pPr>
      <w:r>
        <w:t xml:space="preserve">          - подготовки, сбора, анализа информации для </w:t>
      </w:r>
      <w:r w:rsidR="005408EA">
        <w:t>проверки кредитных учреждений</w:t>
      </w:r>
      <w:r>
        <w:t>;</w:t>
      </w:r>
    </w:p>
    <w:p w:rsidR="00D7090C" w:rsidRDefault="00D7090C" w:rsidP="00D7090C">
      <w:pPr>
        <w:snapToGrid w:val="0"/>
        <w:jc w:val="both"/>
      </w:pPr>
      <w:r>
        <w:t xml:space="preserve">          - 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D7090C" w:rsidRDefault="00D7090C" w:rsidP="00D7090C">
      <w:pPr>
        <w:snapToGrid w:val="0"/>
        <w:jc w:val="both"/>
      </w:pPr>
      <w:r>
        <w:t xml:space="preserve">          </w:t>
      </w:r>
      <w:r>
        <w:rPr>
          <w:szCs w:val="20"/>
        </w:rPr>
        <w:t>- 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43D8E" w:rsidRDefault="00943D8E" w:rsidP="00943D8E">
      <w:pPr>
        <w:ind w:firstLine="720"/>
        <w:jc w:val="both"/>
      </w:pPr>
      <w:r>
        <w:t>12.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43D8E" w:rsidRPr="00685AE2" w:rsidRDefault="00943D8E" w:rsidP="00943D8E">
      <w:pPr>
        <w:ind w:firstLine="720"/>
        <w:jc w:val="both"/>
      </w:pPr>
      <w:r w:rsidRPr="00685AE2">
        <w:t>нормативных актов и (или) проектов 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решение которых возложено на отдел.</w:t>
      </w:r>
    </w:p>
    <w:p w:rsidR="00943D8E" w:rsidRDefault="00943D8E" w:rsidP="00943D8E">
      <w:pPr>
        <w:ind w:firstLine="720"/>
        <w:jc w:val="both"/>
      </w:pPr>
      <w:r>
        <w:t>13.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43D8E" w:rsidRDefault="00943D8E" w:rsidP="00943D8E">
      <w:pPr>
        <w:ind w:firstLine="720"/>
        <w:jc w:val="both"/>
      </w:pPr>
      <w:r>
        <w:t>положений об отделе;</w:t>
      </w:r>
    </w:p>
    <w:p w:rsidR="00943D8E" w:rsidRDefault="00943D8E" w:rsidP="00943D8E">
      <w:pPr>
        <w:ind w:firstLine="720"/>
        <w:jc w:val="both"/>
      </w:pPr>
      <w:r>
        <w:t>графика отпусков гражданских служащих отдела;</w:t>
      </w:r>
    </w:p>
    <w:p w:rsidR="00943D8E" w:rsidRDefault="00943D8E" w:rsidP="00943D8E">
      <w:pPr>
        <w:ind w:firstLine="720"/>
        <w:jc w:val="both"/>
      </w:pPr>
      <w:r>
        <w:t>иных актов по поручению непосредственного руководителя и руководства управления.</w:t>
      </w:r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26974" w:rsidRDefault="00943D8E" w:rsidP="00B26974">
      <w:pPr>
        <w:ind w:firstLine="720"/>
        <w:jc w:val="both"/>
      </w:pPr>
      <w:r>
        <w:t xml:space="preserve">14. </w:t>
      </w:r>
      <w:r w:rsidR="00B26974">
        <w:t xml:space="preserve">В соответствии со своими должностными обязанностями </w:t>
      </w:r>
      <w:r w:rsidR="00207FAF">
        <w:t xml:space="preserve">старший государственный налоговый инспектор </w:t>
      </w:r>
      <w:r w:rsidR="00B26974">
        <w:t>отдела</w:t>
      </w:r>
      <w:r w:rsidR="00E173B1">
        <w:t xml:space="preserve"> урегулирования задолженности и обеспечения процедур банкротства</w:t>
      </w:r>
      <w:r w:rsidR="00B26974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D7090C" w:rsidRDefault="00207FAF" w:rsidP="00D7090C">
      <w:pPr>
        <w:ind w:firstLine="720"/>
        <w:jc w:val="both"/>
      </w:pPr>
      <w:r>
        <w:t>1</w:t>
      </w:r>
      <w:r w:rsidR="00943D8E">
        <w:t>5</w:t>
      </w:r>
      <w:r w:rsidR="00D7090C">
        <w:t xml:space="preserve">. </w:t>
      </w:r>
      <w:proofErr w:type="gramStart"/>
      <w:r w:rsidR="00D7090C">
        <w:t xml:space="preserve">Взаимодействие </w:t>
      </w:r>
      <w:r w:rsidR="00C20B48">
        <w:t>старшего</w:t>
      </w:r>
      <w:r w:rsidR="00D7090C" w:rsidRPr="00D60812">
        <w:t xml:space="preserve"> государственн</w:t>
      </w:r>
      <w:r w:rsidR="00D7090C">
        <w:t>ого</w:t>
      </w:r>
      <w:r w:rsidR="00D7090C" w:rsidRPr="00D60812">
        <w:t xml:space="preserve"> налогов</w:t>
      </w:r>
      <w:r w:rsidR="00D7090C">
        <w:t>ого</w:t>
      </w:r>
      <w:r w:rsidR="00D7090C" w:rsidRPr="00D60812">
        <w:t xml:space="preserve"> инспектор</w:t>
      </w:r>
      <w:r w:rsidR="00D7090C">
        <w:t>а</w:t>
      </w:r>
      <w:r w:rsidR="00D7090C" w:rsidRPr="00D60812">
        <w:t xml:space="preserve"> </w:t>
      </w:r>
      <w:r w:rsidR="00D7090C"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="00D7090C" w:rsidRPr="003038C1">
          <w:rPr>
            <w:rStyle w:val="a4"/>
            <w:b w:val="0"/>
            <w:color w:val="000000"/>
          </w:rPr>
          <w:t>общих принципов</w:t>
        </w:r>
      </w:hyperlink>
      <w:r w:rsidR="00D7090C">
        <w:t xml:space="preserve"> служебного поведения гражданских служащих, утвержденных </w:t>
      </w:r>
      <w:hyperlink r:id="rId13" w:history="1">
        <w:r w:rsidR="00D7090C" w:rsidRPr="003038C1">
          <w:rPr>
            <w:rStyle w:val="a4"/>
            <w:b w:val="0"/>
            <w:color w:val="000000"/>
          </w:rPr>
          <w:t>Указом</w:t>
        </w:r>
      </w:hyperlink>
      <w:r w:rsidR="00D7090C" w:rsidRPr="003038C1">
        <w:rPr>
          <w:b/>
          <w:color w:val="000000"/>
        </w:rPr>
        <w:t xml:space="preserve"> </w:t>
      </w:r>
      <w:r w:rsidR="00D7090C">
        <w:t xml:space="preserve">Президента Российской Федерации от </w:t>
      </w:r>
      <w:r w:rsidR="00D7090C"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="00D7090C">
          <w:t>2002 г</w:t>
        </w:r>
      </w:smartTag>
      <w:r w:rsidR="00D7090C">
        <w:t>. №  885 «Об утверждении общих принципов служебного поведения государственных служащих</w:t>
      </w:r>
      <w:proofErr w:type="gramEnd"/>
      <w:r w:rsidR="00D7090C">
        <w:t xml:space="preserve">» (Собрание законодательства Российской Федерации, 2002, № 33, ст.3196; 2007, № 13, ст.1531; </w:t>
      </w:r>
      <w:proofErr w:type="gramStart"/>
      <w:r w:rsidR="00D7090C">
        <w:t xml:space="preserve">2009, № 29, ст.3658), и требований к служебному поведению, установленных </w:t>
      </w:r>
      <w:hyperlink r:id="rId14" w:history="1">
        <w:r w:rsidR="00D7090C" w:rsidRPr="00675154">
          <w:rPr>
            <w:rStyle w:val="a4"/>
            <w:b w:val="0"/>
            <w:color w:val="000000"/>
          </w:rPr>
          <w:t>статьей 18</w:t>
        </w:r>
      </w:hyperlink>
      <w:r w:rsidR="00D7090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7090C">
          <w:t>2004 г</w:t>
        </w:r>
      </w:smartTag>
      <w:r w:rsidR="00D7090C">
        <w:t>. № 79-ФЗ "О государственной гражданской службе Российской Федерации",</w:t>
      </w:r>
      <w:r w:rsidR="00D37232">
        <w:t xml:space="preserve"> </w:t>
      </w:r>
      <w:r w:rsidR="00D37232"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="00D37232">
        <w:t xml:space="preserve">, </w:t>
      </w:r>
      <w:r w:rsidR="00D7090C">
        <w:t xml:space="preserve"> а также в соответствии с иными нормативными правовыми актами Российской Федерации</w:t>
      </w:r>
      <w:r w:rsidR="00D7090C" w:rsidRPr="00A855B7">
        <w:t xml:space="preserve"> </w:t>
      </w:r>
      <w:r w:rsidR="00D7090C">
        <w:t>и приказами (распоряжениями) ФНС</w:t>
      </w:r>
      <w:proofErr w:type="gramEnd"/>
      <w:r w:rsidR="00D7090C">
        <w:t xml:space="preserve"> России.</w:t>
      </w:r>
    </w:p>
    <w:p w:rsidR="00D7090C" w:rsidRDefault="00D7090C" w:rsidP="00D7090C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 w:rsidR="00C20B48">
        <w:t>старшим</w:t>
      </w:r>
      <w:r w:rsidRPr="00D60812">
        <w:t xml:space="preserve"> государственны</w:t>
      </w:r>
      <w:r>
        <w:t>м</w:t>
      </w:r>
      <w:r w:rsidRPr="00D60812">
        <w:t xml:space="preserve"> налоговы</w:t>
      </w:r>
      <w:r>
        <w:t>м</w:t>
      </w:r>
      <w:r w:rsidRPr="00D60812">
        <w:t xml:space="preserve"> инспектор</w:t>
      </w:r>
      <w:r>
        <w:t>ом</w:t>
      </w:r>
      <w:r w:rsidRPr="00D60812">
        <w:t xml:space="preserve"> </w:t>
      </w:r>
      <w:r>
        <w:t>отдела должностных обязанностей,  предусматривает:</w:t>
      </w:r>
    </w:p>
    <w:p w:rsidR="00D7090C" w:rsidRDefault="00D7090C" w:rsidP="00D7090C">
      <w:pPr>
        <w:jc w:val="both"/>
      </w:pPr>
      <w:r>
        <w:t>- 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D7090C" w:rsidRDefault="00D7090C" w:rsidP="00D7090C">
      <w:pPr>
        <w:jc w:val="both"/>
      </w:pPr>
      <w:r>
        <w:t>-  запросы и получение от отделов Инспекции рекомендаций, предложений и заключений по вопросам, входящим в сферу деятельности;</w:t>
      </w:r>
    </w:p>
    <w:p w:rsidR="00D7090C" w:rsidRDefault="00D7090C" w:rsidP="00D7090C">
      <w:pPr>
        <w:jc w:val="both"/>
      </w:pPr>
      <w:r>
        <w:t>- взаимодействие с государственными органами, организациями по вопросам, входящим в сферу деятельности;</w:t>
      </w:r>
    </w:p>
    <w:p w:rsidR="00D7090C" w:rsidRDefault="00D7090C" w:rsidP="00D7090C">
      <w:pPr>
        <w:jc w:val="both"/>
      </w:pPr>
      <w:r>
        <w:t>- представление информации по запросам Управления ФНС России по Оренбургской области;</w:t>
      </w:r>
    </w:p>
    <w:p w:rsidR="00D7090C" w:rsidRPr="0067515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B26974" w:rsidRDefault="00207FAF" w:rsidP="00B26974">
      <w:pPr>
        <w:ind w:firstLine="360"/>
        <w:jc w:val="both"/>
      </w:pPr>
      <w:r>
        <w:t>1</w:t>
      </w:r>
      <w:r w:rsidR="00943D8E">
        <w:t>6</w:t>
      </w:r>
      <w:r w:rsidR="00B26974" w:rsidRPr="00630870">
        <w:t xml:space="preserve">. </w:t>
      </w:r>
      <w:r w:rsidR="00B26974" w:rsidRPr="00F60472">
        <w:t xml:space="preserve">В соответствии с замещаемой государственной гражданской должностью и в пределах </w:t>
      </w:r>
      <w:r w:rsidR="00B26974">
        <w:t>своей</w:t>
      </w:r>
      <w:r w:rsidR="00B26974" w:rsidRPr="00F60472">
        <w:t xml:space="preserve"> компетенции, </w:t>
      </w:r>
      <w:r w:rsidR="00B26974">
        <w:t>старший</w:t>
      </w:r>
      <w:r w:rsidR="00B26974" w:rsidRPr="00D60812">
        <w:t xml:space="preserve"> государственный налоговый инспектор </w:t>
      </w:r>
      <w:r w:rsidR="00B26974">
        <w:t xml:space="preserve">отдела </w:t>
      </w:r>
      <w:r w:rsidR="00B26974" w:rsidRPr="00F60472">
        <w:t xml:space="preserve"> Инспекции осуществляет организационное обеспечение оказания следующих видов государственных услуг:</w:t>
      </w:r>
      <w:r w:rsidR="00B26974">
        <w:t xml:space="preserve"> </w:t>
      </w:r>
    </w:p>
    <w:p w:rsidR="00B26974" w:rsidRDefault="00B26974" w:rsidP="00B26974">
      <w:pPr>
        <w:ind w:firstLine="360"/>
        <w:jc w:val="both"/>
      </w:pPr>
      <w:r>
        <w:t xml:space="preserve">- </w:t>
      </w:r>
      <w:r w:rsidRPr="00F60472">
        <w:t>информирование (в том числе в письменной форме) налогоплательщиков о</w:t>
      </w:r>
      <w:r>
        <w:t xml:space="preserve">б имеющейся задолженности, сроках и способах ее погашения, а также о принятом </w:t>
      </w:r>
      <w:r w:rsidR="007423C7">
        <w:t>решении о возврат</w:t>
      </w:r>
      <w:proofErr w:type="gramStart"/>
      <w:r w:rsidR="007423C7">
        <w:t>е(</w:t>
      </w:r>
      <w:proofErr w:type="gramEnd"/>
      <w:r w:rsidR="007423C7">
        <w:t>зачете) излишне уплаченных (взысканных) сумм</w:t>
      </w:r>
      <w:r>
        <w:t>;</w:t>
      </w:r>
    </w:p>
    <w:p w:rsidR="00D7090C" w:rsidRPr="0067515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7090C" w:rsidRDefault="00D7090C" w:rsidP="00D7090C">
      <w:pPr>
        <w:ind w:firstLine="720"/>
        <w:jc w:val="both"/>
      </w:pPr>
      <w:r>
        <w:t>1</w:t>
      </w:r>
      <w:r w:rsidR="00943D8E">
        <w:t>7</w:t>
      </w:r>
      <w:r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7090C" w:rsidRDefault="00D7090C" w:rsidP="00D7090C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7090C" w:rsidRDefault="00D7090C" w:rsidP="00D7090C">
      <w:pPr>
        <w:ind w:firstLine="720"/>
        <w:jc w:val="both"/>
      </w:pPr>
      <w:r>
        <w:t>своевременности и оперативности выполнения поручений;</w:t>
      </w:r>
    </w:p>
    <w:p w:rsidR="00D7090C" w:rsidRDefault="00D7090C" w:rsidP="00D7090C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7090C" w:rsidRDefault="00D7090C" w:rsidP="00D7090C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7090C" w:rsidRDefault="00D7090C" w:rsidP="00D7090C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7090C" w:rsidRDefault="00D7090C" w:rsidP="00D7090C">
      <w:pPr>
        <w:ind w:firstLine="720"/>
        <w:jc w:val="both"/>
      </w:pPr>
      <w: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7090C" w:rsidRDefault="00D7090C" w:rsidP="00D7090C">
      <w:pPr>
        <w:ind w:firstLine="720"/>
        <w:jc w:val="both"/>
      </w:pPr>
      <w:r>
        <w:t>осознанию ответственности за последствия своих действий.</w:t>
      </w: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pStyle w:val="a5"/>
        <w:rPr>
          <w:rFonts w:ascii="Times New Roman" w:hAnsi="Times New Roman" w:cs="Times New Roman"/>
        </w:rPr>
      </w:pPr>
    </w:p>
    <w:p w:rsidR="00B26974" w:rsidRPr="00A07054" w:rsidRDefault="007B107F" w:rsidP="00B269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B26974" w:rsidRPr="00A07054">
        <w:rPr>
          <w:rFonts w:ascii="Times New Roman" w:hAnsi="Times New Roman" w:cs="Times New Roman"/>
        </w:rPr>
        <w:t xml:space="preserve">ачальник отдела                                       </w:t>
      </w:r>
      <w:r w:rsidR="00B26974">
        <w:rPr>
          <w:rFonts w:ascii="Times New Roman" w:hAnsi="Times New Roman" w:cs="Times New Roman"/>
        </w:rPr>
        <w:t xml:space="preserve"> </w:t>
      </w:r>
      <w:r w:rsidR="00226198">
        <w:rPr>
          <w:rFonts w:ascii="Times New Roman" w:hAnsi="Times New Roman" w:cs="Times New Roman"/>
        </w:rPr>
        <w:t xml:space="preserve">                                                     </w:t>
      </w:r>
    </w:p>
    <w:p w:rsidR="00B26974" w:rsidRDefault="00B26974" w:rsidP="00B269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урегулирования задолженности и                          ____________    </w:t>
      </w:r>
      <w:r w:rsidR="00333CBB">
        <w:rPr>
          <w:rFonts w:ascii="Times New Roman" w:hAnsi="Times New Roman" w:cs="Times New Roman"/>
        </w:rPr>
        <w:t xml:space="preserve">         </w:t>
      </w:r>
      <w:r w:rsidR="00943D8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</w:p>
    <w:p w:rsidR="00B26974" w:rsidRPr="00A636DF" w:rsidRDefault="00B26974" w:rsidP="00B2697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636DF">
        <w:rPr>
          <w:rFonts w:ascii="Times New Roman" w:hAnsi="Times New Roman" w:cs="Times New Roman"/>
        </w:rPr>
        <w:t xml:space="preserve">беспечения процедур банкротства     </w:t>
      </w:r>
      <w:r>
        <w:rPr>
          <w:rFonts w:ascii="Times New Roman" w:hAnsi="Times New Roman" w:cs="Times New Roman"/>
        </w:rPr>
        <w:t xml:space="preserve">                      </w:t>
      </w:r>
      <w:r w:rsidRPr="00A636DF">
        <w:rPr>
          <w:rFonts w:ascii="Times New Roman" w:hAnsi="Times New Roman" w:cs="Times New Roman"/>
        </w:rPr>
        <w:t xml:space="preserve"> (подпись)               </w:t>
      </w:r>
    </w:p>
    <w:p w:rsidR="00D7090C" w:rsidRDefault="00D7090C" w:rsidP="00D7090C"/>
    <w:p w:rsidR="00207FAF" w:rsidRDefault="00207FAF" w:rsidP="00D7090C"/>
    <w:p w:rsidR="00207FAF" w:rsidRDefault="00207FAF" w:rsidP="00D7090C"/>
    <w:p w:rsidR="00F27851" w:rsidRDefault="00F27851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333CBB" w:rsidRDefault="00333CBB" w:rsidP="00D7090C"/>
    <w:p w:rsidR="00C20B48" w:rsidRDefault="00C20B48" w:rsidP="00D7090C"/>
    <w:p w:rsidR="007B107F" w:rsidRDefault="007B107F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Default="007B107F" w:rsidP="007B107F"/>
    <w:p w:rsidR="007B107F" w:rsidRPr="007B107F" w:rsidRDefault="007B107F" w:rsidP="007B107F"/>
    <w:p w:rsidR="007B107F" w:rsidRDefault="007B107F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CC0761" w:rsidRPr="00CC0761" w:rsidRDefault="00CC0761" w:rsidP="00CC0761"/>
    <w:p w:rsidR="00CC0761" w:rsidRDefault="00CC0761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7090C" w:rsidRPr="00A72FF7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2FF7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D7090C" w:rsidRDefault="00D7090C" w:rsidP="00D7090C">
      <w:pPr>
        <w:ind w:firstLine="720"/>
        <w:jc w:val="both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63"/>
        <w:gridCol w:w="2215"/>
        <w:gridCol w:w="2300"/>
        <w:gridCol w:w="1777"/>
      </w:tblGrid>
      <w:tr w:rsidR="00D7090C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A72FF7" w:rsidRDefault="00D7090C" w:rsidP="00D7090C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72FF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72FF7">
              <w:rPr>
                <w:rFonts w:ascii="Times New Roman" w:hAnsi="Times New Roman"/>
              </w:rPr>
              <w:t>/</w:t>
            </w:r>
            <w:proofErr w:type="spellStart"/>
            <w:r w:rsidRPr="00A72FF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A72FF7" w:rsidRDefault="00D7090C" w:rsidP="00D7090C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A72FF7" w:rsidRDefault="00D7090C" w:rsidP="00D7090C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A72FF7" w:rsidRDefault="00D7090C" w:rsidP="00D7090C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90C" w:rsidRPr="00A72FF7" w:rsidRDefault="00D7090C" w:rsidP="00D7090C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D7090C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333CBB" w:rsidRDefault="00D7090C" w:rsidP="00D7090C">
            <w:pPr>
              <w:pStyle w:val="a3"/>
              <w:rPr>
                <w:rFonts w:cs="Arial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333CBB" w:rsidRDefault="00D7090C" w:rsidP="00D7090C">
            <w:pPr>
              <w:pStyle w:val="a3"/>
              <w:rPr>
                <w:rFonts w:cs="Arial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333CBB" w:rsidRDefault="00D7090C" w:rsidP="00D7090C">
            <w:pPr>
              <w:pStyle w:val="a3"/>
              <w:rPr>
                <w:rFonts w:cs="Aria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333CBB" w:rsidRDefault="00D7090C" w:rsidP="00D7090C">
            <w:pPr>
              <w:pStyle w:val="a3"/>
              <w:rPr>
                <w:rFonts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90C" w:rsidRPr="00D264F1" w:rsidRDefault="00D7090C" w:rsidP="00D7090C">
            <w:pPr>
              <w:pStyle w:val="a3"/>
              <w:rPr>
                <w:rFonts w:ascii="Times New Roman" w:hAnsi="Times New Roman"/>
              </w:rPr>
            </w:pPr>
          </w:p>
        </w:tc>
      </w:tr>
      <w:tr w:rsidR="00D7090C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Default="00D7090C" w:rsidP="00D7090C">
            <w:pPr>
              <w:pStyle w:val="a3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Default="00D7090C" w:rsidP="00D7090C">
            <w:pPr>
              <w:pStyle w:val="a3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Default="00D7090C" w:rsidP="00D7090C">
            <w:pPr>
              <w:pStyle w:val="a3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Default="00D7090C" w:rsidP="00D7090C">
            <w:pPr>
              <w:pStyle w:val="a3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90C" w:rsidRDefault="00D7090C" w:rsidP="00D7090C">
            <w:pPr>
              <w:pStyle w:val="a3"/>
            </w:pPr>
          </w:p>
        </w:tc>
      </w:tr>
    </w:tbl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>
      <w:pPr>
        <w:ind w:firstLine="720"/>
        <w:jc w:val="both"/>
      </w:pPr>
    </w:p>
    <w:p w:rsidR="00D7090C" w:rsidRDefault="00D7090C" w:rsidP="00D7090C"/>
    <w:p w:rsidR="009357A4" w:rsidRPr="00D7090C" w:rsidRDefault="009357A4" w:rsidP="00D7090C"/>
    <w:sectPr w:rsidR="009357A4" w:rsidRPr="00D7090C" w:rsidSect="00207FAF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57A4"/>
    <w:rsid w:val="00045F1F"/>
    <w:rsid w:val="00056854"/>
    <w:rsid w:val="000D4C1C"/>
    <w:rsid w:val="000E3048"/>
    <w:rsid w:val="001023C2"/>
    <w:rsid w:val="00197030"/>
    <w:rsid w:val="00207FAF"/>
    <w:rsid w:val="00226198"/>
    <w:rsid w:val="00293033"/>
    <w:rsid w:val="002A539A"/>
    <w:rsid w:val="00333CBB"/>
    <w:rsid w:val="003822C4"/>
    <w:rsid w:val="00392B69"/>
    <w:rsid w:val="004D2E5E"/>
    <w:rsid w:val="004E45EA"/>
    <w:rsid w:val="005408EA"/>
    <w:rsid w:val="005B377C"/>
    <w:rsid w:val="00620F7A"/>
    <w:rsid w:val="006C3FA3"/>
    <w:rsid w:val="00727EDD"/>
    <w:rsid w:val="00734042"/>
    <w:rsid w:val="007423C7"/>
    <w:rsid w:val="00790B2E"/>
    <w:rsid w:val="00794108"/>
    <w:rsid w:val="007B107F"/>
    <w:rsid w:val="007C7E64"/>
    <w:rsid w:val="007D2B4C"/>
    <w:rsid w:val="0086150E"/>
    <w:rsid w:val="008A1D08"/>
    <w:rsid w:val="008B36F1"/>
    <w:rsid w:val="008E6E75"/>
    <w:rsid w:val="008F5B6F"/>
    <w:rsid w:val="009011DE"/>
    <w:rsid w:val="0090171C"/>
    <w:rsid w:val="0092154C"/>
    <w:rsid w:val="00932AE3"/>
    <w:rsid w:val="009357A4"/>
    <w:rsid w:val="00940218"/>
    <w:rsid w:val="00943D8E"/>
    <w:rsid w:val="009570C0"/>
    <w:rsid w:val="009761D7"/>
    <w:rsid w:val="009A082A"/>
    <w:rsid w:val="009C68DE"/>
    <w:rsid w:val="009E58A6"/>
    <w:rsid w:val="00A3391F"/>
    <w:rsid w:val="00AA0479"/>
    <w:rsid w:val="00AC1CC9"/>
    <w:rsid w:val="00AE568B"/>
    <w:rsid w:val="00B26974"/>
    <w:rsid w:val="00B50323"/>
    <w:rsid w:val="00B62CEC"/>
    <w:rsid w:val="00B85373"/>
    <w:rsid w:val="00B973FE"/>
    <w:rsid w:val="00BB1AE6"/>
    <w:rsid w:val="00C20B48"/>
    <w:rsid w:val="00C5399C"/>
    <w:rsid w:val="00CA62F2"/>
    <w:rsid w:val="00CC0761"/>
    <w:rsid w:val="00D37232"/>
    <w:rsid w:val="00D7090C"/>
    <w:rsid w:val="00D87E0A"/>
    <w:rsid w:val="00D9752F"/>
    <w:rsid w:val="00DC54C0"/>
    <w:rsid w:val="00DD5D59"/>
    <w:rsid w:val="00DE10D5"/>
    <w:rsid w:val="00E13B99"/>
    <w:rsid w:val="00E15419"/>
    <w:rsid w:val="00E173B1"/>
    <w:rsid w:val="00E574FB"/>
    <w:rsid w:val="00E81405"/>
    <w:rsid w:val="00E9506F"/>
    <w:rsid w:val="00ED5AF3"/>
    <w:rsid w:val="00F27851"/>
    <w:rsid w:val="00F9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90C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link w:val="a7"/>
    <w:rsid w:val="005B377C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AC1CC9"/>
    <w:pPr>
      <w:spacing w:after="120" w:line="480" w:lineRule="auto"/>
    </w:pPr>
  </w:style>
  <w:style w:type="paragraph" w:customStyle="1" w:styleId="ConsPlusNormal">
    <w:name w:val="ConsPlusNormal"/>
    <w:rsid w:val="00D709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D7090C"/>
    <w:pPr>
      <w:spacing w:after="120"/>
    </w:pPr>
  </w:style>
  <w:style w:type="paragraph" w:styleId="a9">
    <w:name w:val="Body Text Indent"/>
    <w:basedOn w:val="a"/>
    <w:rsid w:val="00B26974"/>
    <w:pPr>
      <w:spacing w:after="120"/>
      <w:ind w:left="283"/>
    </w:pPr>
  </w:style>
  <w:style w:type="character" w:styleId="aa">
    <w:name w:val="Hyperlink"/>
    <w:basedOn w:val="a0"/>
    <w:rsid w:val="00AE568B"/>
    <w:rPr>
      <w:color w:val="0000FF"/>
      <w:u w:val="single"/>
    </w:rPr>
  </w:style>
  <w:style w:type="character" w:customStyle="1" w:styleId="a7">
    <w:name w:val="Текст Знак"/>
    <w:basedOn w:val="a0"/>
    <w:link w:val="a6"/>
    <w:rsid w:val="009570C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C04E65864D224168F66B1ECEBC5270EA5BCCD4D312A87721343EDAz7QAI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19091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consultantplus://offline/ref=C04E65864D224168F66B1ECEBC5270EA5BCCD4D312A87721343EDAz7QAI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5614-55-494</cp:lastModifiedBy>
  <cp:revision>4</cp:revision>
  <cp:lastPrinted>2016-08-02T05:21:00Z</cp:lastPrinted>
  <dcterms:created xsi:type="dcterms:W3CDTF">2016-11-22T05:25:00Z</dcterms:created>
  <dcterms:modified xsi:type="dcterms:W3CDTF">2016-11-22T06:30:00Z</dcterms:modified>
</cp:coreProperties>
</file>