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E0" w:rsidRPr="002C7BE0" w:rsidRDefault="002C7BE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2C7BE0" w:rsidRPr="002C7BE0">
        <w:tc>
          <w:tcPr>
            <w:tcW w:w="4677" w:type="dxa"/>
            <w:tcBorders>
              <w:top w:val="nil"/>
              <w:left w:val="nil"/>
              <w:bottom w:val="nil"/>
              <w:right w:val="nil"/>
            </w:tcBorders>
          </w:tcPr>
          <w:p w:rsidR="002C7BE0" w:rsidRPr="002C7BE0" w:rsidRDefault="002C7BE0">
            <w:pPr>
              <w:pStyle w:val="ConsPlusNormal"/>
              <w:outlineLvl w:val="0"/>
            </w:pPr>
            <w:r w:rsidRPr="002C7BE0">
              <w:t>16 ноября 2002 года</w:t>
            </w:r>
          </w:p>
        </w:tc>
        <w:tc>
          <w:tcPr>
            <w:tcW w:w="4677" w:type="dxa"/>
            <w:tcBorders>
              <w:top w:val="nil"/>
              <w:left w:val="nil"/>
              <w:bottom w:val="nil"/>
              <w:right w:val="nil"/>
            </w:tcBorders>
          </w:tcPr>
          <w:p w:rsidR="002C7BE0" w:rsidRPr="002C7BE0" w:rsidRDefault="002C7BE0">
            <w:pPr>
              <w:pStyle w:val="ConsPlusNormal"/>
              <w:jc w:val="right"/>
              <w:outlineLvl w:val="0"/>
            </w:pPr>
            <w:r w:rsidRPr="002C7BE0">
              <w:t>N 322/66-III-ОЗ</w:t>
            </w:r>
          </w:p>
        </w:tc>
      </w:tr>
    </w:tbl>
    <w:p w:rsidR="002C7BE0" w:rsidRPr="002C7BE0" w:rsidRDefault="002C7BE0">
      <w:pPr>
        <w:pStyle w:val="ConsPlusNormal"/>
        <w:pBdr>
          <w:top w:val="single" w:sz="6" w:space="0" w:color="auto"/>
        </w:pBdr>
        <w:spacing w:before="100" w:after="100"/>
        <w:jc w:val="both"/>
        <w:rPr>
          <w:sz w:val="2"/>
          <w:szCs w:val="2"/>
        </w:rPr>
      </w:pPr>
    </w:p>
    <w:p w:rsidR="002C7BE0" w:rsidRPr="002C7BE0" w:rsidRDefault="002C7BE0">
      <w:pPr>
        <w:pStyle w:val="ConsPlusNormal"/>
        <w:jc w:val="both"/>
      </w:pPr>
    </w:p>
    <w:p w:rsidR="002C7BE0" w:rsidRPr="002C7BE0" w:rsidRDefault="002C7BE0">
      <w:pPr>
        <w:pStyle w:val="ConsPlusTitle"/>
        <w:jc w:val="center"/>
      </w:pPr>
      <w:r w:rsidRPr="002C7BE0">
        <w:t>РОССИЙСКАЯ ФЕДЕРАЦИЯ</w:t>
      </w:r>
    </w:p>
    <w:p w:rsidR="002C7BE0" w:rsidRPr="002C7BE0" w:rsidRDefault="002C7BE0">
      <w:pPr>
        <w:pStyle w:val="ConsPlusTitle"/>
        <w:jc w:val="center"/>
      </w:pPr>
    </w:p>
    <w:p w:rsidR="002C7BE0" w:rsidRPr="002C7BE0" w:rsidRDefault="002C7BE0">
      <w:pPr>
        <w:pStyle w:val="ConsPlusTitle"/>
        <w:jc w:val="center"/>
      </w:pPr>
      <w:r w:rsidRPr="002C7BE0">
        <w:t>ЗАКОН</w:t>
      </w:r>
    </w:p>
    <w:p w:rsidR="002C7BE0" w:rsidRPr="002C7BE0" w:rsidRDefault="002C7BE0">
      <w:pPr>
        <w:pStyle w:val="ConsPlusTitle"/>
        <w:jc w:val="center"/>
      </w:pPr>
      <w:r w:rsidRPr="002C7BE0">
        <w:t>ОРЕНБУРГСКОЙ ОБЛАСТИ</w:t>
      </w:r>
    </w:p>
    <w:p w:rsidR="002C7BE0" w:rsidRPr="002C7BE0" w:rsidRDefault="002C7BE0">
      <w:pPr>
        <w:pStyle w:val="ConsPlusTitle"/>
        <w:jc w:val="center"/>
      </w:pPr>
    </w:p>
    <w:p w:rsidR="002C7BE0" w:rsidRPr="002C7BE0" w:rsidRDefault="002C7BE0">
      <w:pPr>
        <w:pStyle w:val="ConsPlusTitle"/>
        <w:jc w:val="center"/>
      </w:pPr>
      <w:r w:rsidRPr="002C7BE0">
        <w:t>О ТРАНСПОРТНОМ НАЛОГЕ</w:t>
      </w:r>
    </w:p>
    <w:p w:rsidR="002C7BE0" w:rsidRPr="002C7BE0" w:rsidRDefault="002C7BE0">
      <w:pPr>
        <w:pStyle w:val="ConsPlusNormal"/>
        <w:jc w:val="both"/>
      </w:pPr>
    </w:p>
    <w:p w:rsidR="002C7BE0" w:rsidRPr="002C7BE0" w:rsidRDefault="002C7BE0">
      <w:pPr>
        <w:pStyle w:val="ConsPlusNormal"/>
        <w:jc w:val="right"/>
      </w:pPr>
      <w:proofErr w:type="gramStart"/>
      <w:r w:rsidRPr="002C7BE0">
        <w:t>Принят</w:t>
      </w:r>
      <w:proofErr w:type="gramEnd"/>
    </w:p>
    <w:p w:rsidR="002C7BE0" w:rsidRPr="002C7BE0" w:rsidRDefault="002C7BE0">
      <w:pPr>
        <w:pStyle w:val="ConsPlusNormal"/>
        <w:jc w:val="right"/>
      </w:pPr>
      <w:hyperlink r:id="rId4" w:history="1">
        <w:r w:rsidRPr="002C7BE0">
          <w:t>постановлением</w:t>
        </w:r>
      </w:hyperlink>
    </w:p>
    <w:p w:rsidR="002C7BE0" w:rsidRPr="002C7BE0" w:rsidRDefault="002C7BE0">
      <w:pPr>
        <w:pStyle w:val="ConsPlusNormal"/>
        <w:jc w:val="right"/>
      </w:pPr>
      <w:r w:rsidRPr="002C7BE0">
        <w:t>Законодательного Собрания</w:t>
      </w:r>
    </w:p>
    <w:p w:rsidR="002C7BE0" w:rsidRPr="002C7BE0" w:rsidRDefault="002C7BE0">
      <w:pPr>
        <w:pStyle w:val="ConsPlusNormal"/>
        <w:jc w:val="right"/>
      </w:pPr>
      <w:r w:rsidRPr="002C7BE0">
        <w:t>Оренбургской области</w:t>
      </w:r>
    </w:p>
    <w:p w:rsidR="002C7BE0" w:rsidRPr="002C7BE0" w:rsidRDefault="002C7BE0">
      <w:pPr>
        <w:pStyle w:val="ConsPlusNormal"/>
        <w:jc w:val="right"/>
      </w:pPr>
      <w:r w:rsidRPr="002C7BE0">
        <w:t>от 23 октября 2002 г. N 322</w:t>
      </w:r>
    </w:p>
    <w:p w:rsidR="002C7BE0" w:rsidRPr="002C7BE0" w:rsidRDefault="002C7BE0">
      <w:pPr>
        <w:spacing w:after="1"/>
      </w:pPr>
    </w:p>
    <w:p w:rsidR="002C7BE0" w:rsidRPr="002C7BE0" w:rsidRDefault="002C7BE0">
      <w:pPr>
        <w:pStyle w:val="ConsPlusNormal"/>
        <w:jc w:val="both"/>
      </w:pPr>
    </w:p>
    <w:p w:rsidR="002C7BE0" w:rsidRPr="002C7BE0" w:rsidRDefault="002C7BE0">
      <w:pPr>
        <w:pStyle w:val="ConsPlusNormal"/>
        <w:ind w:firstLine="540"/>
        <w:jc w:val="both"/>
        <w:outlineLvl w:val="1"/>
      </w:pPr>
      <w:r w:rsidRPr="002C7BE0">
        <w:t>Статья 1. Общие положения</w:t>
      </w:r>
    </w:p>
    <w:p w:rsidR="002C7BE0" w:rsidRPr="002C7BE0" w:rsidRDefault="002C7BE0">
      <w:pPr>
        <w:pStyle w:val="ConsPlusNormal"/>
        <w:jc w:val="both"/>
      </w:pPr>
    </w:p>
    <w:p w:rsidR="002C7BE0" w:rsidRPr="002C7BE0" w:rsidRDefault="002C7BE0">
      <w:pPr>
        <w:pStyle w:val="ConsPlusNormal"/>
        <w:ind w:firstLine="540"/>
        <w:jc w:val="both"/>
      </w:pPr>
      <w:r w:rsidRPr="002C7BE0">
        <w:t xml:space="preserve">Транспортный налог (далее - налог) устанавливается Налоговым </w:t>
      </w:r>
      <w:hyperlink r:id="rId5" w:history="1">
        <w:r w:rsidRPr="002C7BE0">
          <w:t>кодексом</w:t>
        </w:r>
      </w:hyperlink>
      <w:r w:rsidRPr="002C7BE0">
        <w:t xml:space="preserve"> Российской Федерации, настоящим Законом и обязателен к уплате на территории Оренбургской области.</w:t>
      </w:r>
    </w:p>
    <w:p w:rsidR="002C7BE0" w:rsidRPr="002C7BE0" w:rsidRDefault="002C7BE0">
      <w:pPr>
        <w:pStyle w:val="ConsPlusNormal"/>
        <w:jc w:val="both"/>
      </w:pPr>
    </w:p>
    <w:p w:rsidR="002C7BE0" w:rsidRPr="002C7BE0" w:rsidRDefault="002C7BE0">
      <w:pPr>
        <w:pStyle w:val="ConsPlusNormal"/>
        <w:ind w:firstLine="540"/>
        <w:jc w:val="both"/>
        <w:outlineLvl w:val="1"/>
      </w:pPr>
      <w:r w:rsidRPr="002C7BE0">
        <w:t xml:space="preserve">Статьи 2 - 5. </w:t>
      </w:r>
      <w:proofErr w:type="gramStart"/>
      <w:r w:rsidRPr="002C7BE0">
        <w:t>Исключены</w:t>
      </w:r>
      <w:proofErr w:type="gramEnd"/>
      <w:r w:rsidRPr="002C7BE0">
        <w:t xml:space="preserve"> с 1 января 2009 года. - </w:t>
      </w:r>
      <w:hyperlink r:id="rId6" w:history="1">
        <w:r w:rsidRPr="002C7BE0">
          <w:t>Закон</w:t>
        </w:r>
      </w:hyperlink>
      <w:r w:rsidRPr="002C7BE0">
        <w:t xml:space="preserve"> Оренбургской области от 01.11.2008 N 2529/518-IV-ОЗ.</w:t>
      </w:r>
    </w:p>
    <w:p w:rsidR="002C7BE0" w:rsidRPr="002C7BE0" w:rsidRDefault="002C7BE0">
      <w:pPr>
        <w:pStyle w:val="ConsPlusNormal"/>
        <w:jc w:val="both"/>
      </w:pPr>
    </w:p>
    <w:p w:rsidR="002C7BE0" w:rsidRPr="002C7BE0" w:rsidRDefault="002C7BE0">
      <w:pPr>
        <w:pStyle w:val="ConsPlusNormal"/>
        <w:ind w:firstLine="540"/>
        <w:jc w:val="both"/>
        <w:outlineLvl w:val="1"/>
      </w:pPr>
      <w:r w:rsidRPr="002C7BE0">
        <w:t>Статья 6. Налоговые ставки</w:t>
      </w:r>
    </w:p>
    <w:p w:rsidR="002C7BE0" w:rsidRPr="002C7BE0" w:rsidRDefault="002C7BE0">
      <w:pPr>
        <w:pStyle w:val="ConsPlusNormal"/>
        <w:ind w:firstLine="540"/>
        <w:jc w:val="both"/>
      </w:pPr>
      <w:r w:rsidRPr="002C7BE0">
        <w:t xml:space="preserve">(в ред. </w:t>
      </w:r>
      <w:hyperlink r:id="rId7" w:history="1">
        <w:r w:rsidRPr="002C7BE0">
          <w:t>Закона</w:t>
        </w:r>
      </w:hyperlink>
      <w:r w:rsidRPr="002C7BE0">
        <w:t xml:space="preserve"> Оренбургской области от 01.11.2008 N 2529/518-IV-ОЗ)</w:t>
      </w:r>
    </w:p>
    <w:p w:rsidR="002C7BE0" w:rsidRPr="002C7BE0" w:rsidRDefault="002C7BE0">
      <w:pPr>
        <w:pStyle w:val="ConsPlusNormal"/>
        <w:jc w:val="both"/>
      </w:pPr>
    </w:p>
    <w:p w:rsidR="002C7BE0" w:rsidRPr="002C7BE0" w:rsidRDefault="002C7BE0">
      <w:pPr>
        <w:pStyle w:val="ConsPlusNormal"/>
        <w:ind w:firstLine="540"/>
        <w:jc w:val="both"/>
      </w:pPr>
      <w:r w:rsidRPr="002C7BE0">
        <w:t>Налоговые ставки устанавливаются в зависимости от мощности двигателя, тяги реактивного двигателя или валовой вместимости транспортных средств, категории транспортных сре</w:t>
      </w:r>
      <w:proofErr w:type="gramStart"/>
      <w:r w:rsidRPr="002C7BE0">
        <w:t>дств в р</w:t>
      </w:r>
      <w:proofErr w:type="gramEnd"/>
      <w:r w:rsidRPr="002C7BE0">
        <w:t>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в следующих размерах:</w:t>
      </w:r>
    </w:p>
    <w:p w:rsidR="002C7BE0" w:rsidRPr="002C7BE0" w:rsidRDefault="002C7B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27"/>
        <w:gridCol w:w="1644"/>
      </w:tblGrid>
      <w:tr w:rsidR="002C7BE0" w:rsidRPr="002C7BE0">
        <w:tc>
          <w:tcPr>
            <w:tcW w:w="7427" w:type="dxa"/>
          </w:tcPr>
          <w:p w:rsidR="002C7BE0" w:rsidRPr="002C7BE0" w:rsidRDefault="002C7BE0">
            <w:pPr>
              <w:pStyle w:val="ConsPlusNormal"/>
              <w:jc w:val="center"/>
            </w:pPr>
            <w:r w:rsidRPr="002C7BE0">
              <w:t>Наименование объекта налогообложения</w:t>
            </w:r>
          </w:p>
        </w:tc>
        <w:tc>
          <w:tcPr>
            <w:tcW w:w="1644" w:type="dxa"/>
          </w:tcPr>
          <w:p w:rsidR="002C7BE0" w:rsidRPr="002C7BE0" w:rsidRDefault="002C7BE0">
            <w:pPr>
              <w:pStyle w:val="ConsPlusNormal"/>
              <w:jc w:val="center"/>
            </w:pPr>
            <w:r w:rsidRPr="002C7BE0">
              <w:t>Налоговая</w:t>
            </w:r>
          </w:p>
          <w:p w:rsidR="002C7BE0" w:rsidRPr="002C7BE0" w:rsidRDefault="002C7BE0">
            <w:pPr>
              <w:pStyle w:val="ConsPlusNormal"/>
              <w:jc w:val="center"/>
            </w:pPr>
            <w:r w:rsidRPr="002C7BE0">
              <w:t>ставка</w:t>
            </w:r>
          </w:p>
          <w:p w:rsidR="002C7BE0" w:rsidRPr="002C7BE0" w:rsidRDefault="002C7BE0">
            <w:pPr>
              <w:pStyle w:val="ConsPlusNormal"/>
              <w:jc w:val="center"/>
            </w:pPr>
            <w:r w:rsidRPr="002C7BE0">
              <w:t>(в рублях)</w:t>
            </w:r>
          </w:p>
        </w:tc>
      </w:tr>
      <w:tr w:rsidR="002C7BE0" w:rsidRPr="002C7BE0">
        <w:tc>
          <w:tcPr>
            <w:tcW w:w="7427" w:type="dxa"/>
          </w:tcPr>
          <w:p w:rsidR="002C7BE0" w:rsidRPr="002C7BE0" w:rsidRDefault="002C7BE0">
            <w:pPr>
              <w:pStyle w:val="ConsPlusNormal"/>
              <w:jc w:val="center"/>
            </w:pPr>
            <w:r w:rsidRPr="002C7BE0">
              <w:t>1</w:t>
            </w:r>
          </w:p>
        </w:tc>
        <w:tc>
          <w:tcPr>
            <w:tcW w:w="1644" w:type="dxa"/>
          </w:tcPr>
          <w:p w:rsidR="002C7BE0" w:rsidRPr="002C7BE0" w:rsidRDefault="002C7BE0">
            <w:pPr>
              <w:pStyle w:val="ConsPlusNormal"/>
              <w:jc w:val="center"/>
            </w:pPr>
            <w:r w:rsidRPr="002C7BE0">
              <w:t>2</w:t>
            </w:r>
          </w:p>
        </w:tc>
      </w:tr>
      <w:tr w:rsidR="002C7BE0" w:rsidRPr="002C7BE0">
        <w:tc>
          <w:tcPr>
            <w:tcW w:w="7427" w:type="dxa"/>
          </w:tcPr>
          <w:p w:rsidR="002C7BE0" w:rsidRPr="002C7BE0" w:rsidRDefault="002C7BE0">
            <w:pPr>
              <w:pStyle w:val="ConsPlusNormal"/>
            </w:pPr>
            <w:proofErr w:type="gramStart"/>
            <w:r w:rsidRPr="002C7BE0">
              <w:t>Автомобили легковые с мощностью двигателя (с каждой</w:t>
            </w:r>
            <w:proofErr w:type="gramEnd"/>
          </w:p>
          <w:p w:rsidR="002C7BE0" w:rsidRPr="002C7BE0" w:rsidRDefault="002C7BE0">
            <w:pPr>
              <w:pStyle w:val="ConsPlusNormal"/>
            </w:pPr>
            <w:r w:rsidRPr="002C7BE0">
              <w:t>лошадиной силы):</w:t>
            </w:r>
          </w:p>
        </w:tc>
        <w:tc>
          <w:tcPr>
            <w:tcW w:w="1644" w:type="dxa"/>
          </w:tcPr>
          <w:p w:rsidR="002C7BE0" w:rsidRPr="002C7BE0" w:rsidRDefault="002C7BE0">
            <w:pPr>
              <w:pStyle w:val="ConsPlusNormal"/>
            </w:pPr>
          </w:p>
        </w:tc>
      </w:tr>
      <w:tr w:rsidR="002C7BE0" w:rsidRPr="002C7BE0">
        <w:tblPrEx>
          <w:tblBorders>
            <w:insideH w:val="nil"/>
          </w:tblBorders>
        </w:tblPrEx>
        <w:tc>
          <w:tcPr>
            <w:tcW w:w="7427" w:type="dxa"/>
            <w:tcBorders>
              <w:bottom w:val="nil"/>
            </w:tcBorders>
          </w:tcPr>
          <w:p w:rsidR="002C7BE0" w:rsidRPr="002C7BE0" w:rsidRDefault="002C7BE0">
            <w:pPr>
              <w:pStyle w:val="ConsPlusNormal"/>
            </w:pPr>
            <w:r w:rsidRPr="002C7BE0">
              <w:t>до 100 л. с. (до 73,55 кВт) включительно</w:t>
            </w:r>
          </w:p>
        </w:tc>
        <w:tc>
          <w:tcPr>
            <w:tcW w:w="1644" w:type="dxa"/>
            <w:tcBorders>
              <w:bottom w:val="nil"/>
            </w:tcBorders>
          </w:tcPr>
          <w:p w:rsidR="002C7BE0" w:rsidRPr="002C7BE0" w:rsidRDefault="002C7BE0">
            <w:pPr>
              <w:pStyle w:val="ConsPlusNormal"/>
              <w:jc w:val="center"/>
            </w:pPr>
            <w:r w:rsidRPr="002C7BE0">
              <w:t>0,0</w:t>
            </w:r>
          </w:p>
        </w:tc>
      </w:tr>
      <w:tr w:rsidR="002C7BE0" w:rsidRPr="002C7BE0">
        <w:tblPrEx>
          <w:tblBorders>
            <w:insideH w:val="nil"/>
          </w:tblBorders>
        </w:tblPrEx>
        <w:tc>
          <w:tcPr>
            <w:tcW w:w="9071" w:type="dxa"/>
            <w:gridSpan w:val="2"/>
            <w:tcBorders>
              <w:top w:val="nil"/>
            </w:tcBorders>
          </w:tcPr>
          <w:p w:rsidR="002C7BE0" w:rsidRPr="002C7BE0" w:rsidRDefault="002C7BE0">
            <w:pPr>
              <w:pStyle w:val="ConsPlusNormal"/>
              <w:jc w:val="both"/>
            </w:pPr>
            <w:r w:rsidRPr="002C7BE0">
              <w:t xml:space="preserve">(в ред. Законов Оренбургской области от 17.11.2010 </w:t>
            </w:r>
            <w:hyperlink r:id="rId8" w:history="1">
              <w:r w:rsidRPr="002C7BE0">
                <w:t>N 4009/920-IV-ОЗ</w:t>
              </w:r>
            </w:hyperlink>
            <w:r w:rsidRPr="002C7BE0">
              <w:t xml:space="preserve">, от 26.08.2011 </w:t>
            </w:r>
            <w:hyperlink r:id="rId9" w:history="1">
              <w:r w:rsidRPr="002C7BE0">
                <w:t>N 366/61-V-ОЗ</w:t>
              </w:r>
            </w:hyperlink>
            <w:r w:rsidRPr="002C7BE0">
              <w:t>)</w:t>
            </w:r>
          </w:p>
        </w:tc>
      </w:tr>
      <w:tr w:rsidR="002C7BE0" w:rsidRPr="002C7BE0">
        <w:tblPrEx>
          <w:tblBorders>
            <w:insideH w:val="nil"/>
          </w:tblBorders>
        </w:tblPrEx>
        <w:tc>
          <w:tcPr>
            <w:tcW w:w="7427" w:type="dxa"/>
            <w:tcBorders>
              <w:bottom w:val="nil"/>
            </w:tcBorders>
          </w:tcPr>
          <w:p w:rsidR="002C7BE0" w:rsidRPr="002C7BE0" w:rsidRDefault="002C7BE0">
            <w:pPr>
              <w:pStyle w:val="ConsPlusNormal"/>
            </w:pPr>
            <w:r w:rsidRPr="002C7BE0">
              <w:t>свыше 100 л. с. до 150 л. с. (свыше 73,55 кВт до 110,33 кВт) включительно</w:t>
            </w:r>
          </w:p>
        </w:tc>
        <w:tc>
          <w:tcPr>
            <w:tcW w:w="1644" w:type="dxa"/>
            <w:tcBorders>
              <w:bottom w:val="nil"/>
            </w:tcBorders>
          </w:tcPr>
          <w:p w:rsidR="002C7BE0" w:rsidRPr="002C7BE0" w:rsidRDefault="002C7BE0">
            <w:pPr>
              <w:pStyle w:val="ConsPlusNormal"/>
              <w:jc w:val="center"/>
            </w:pPr>
            <w:r w:rsidRPr="002C7BE0">
              <w:t>15,0</w:t>
            </w:r>
          </w:p>
        </w:tc>
      </w:tr>
      <w:tr w:rsidR="002C7BE0" w:rsidRPr="002C7BE0">
        <w:tblPrEx>
          <w:tblBorders>
            <w:insideH w:val="nil"/>
          </w:tblBorders>
        </w:tblPrEx>
        <w:tc>
          <w:tcPr>
            <w:tcW w:w="9071" w:type="dxa"/>
            <w:gridSpan w:val="2"/>
            <w:tcBorders>
              <w:top w:val="nil"/>
            </w:tcBorders>
          </w:tcPr>
          <w:p w:rsidR="002C7BE0" w:rsidRPr="002C7BE0" w:rsidRDefault="002C7BE0">
            <w:pPr>
              <w:pStyle w:val="ConsPlusNormal"/>
              <w:jc w:val="both"/>
            </w:pPr>
            <w:r w:rsidRPr="002C7BE0">
              <w:t xml:space="preserve">(в ред. </w:t>
            </w:r>
            <w:hyperlink r:id="rId10" w:history="1">
              <w:r w:rsidRPr="002C7BE0">
                <w:t>Закона</w:t>
              </w:r>
            </w:hyperlink>
            <w:r w:rsidRPr="002C7BE0">
              <w:t xml:space="preserve"> Оренбургской области от 26.08.2011 N 366/61-V-ОЗ)</w:t>
            </w:r>
          </w:p>
        </w:tc>
      </w:tr>
      <w:tr w:rsidR="002C7BE0" w:rsidRPr="002C7BE0">
        <w:tc>
          <w:tcPr>
            <w:tcW w:w="7427" w:type="dxa"/>
          </w:tcPr>
          <w:p w:rsidR="002C7BE0" w:rsidRPr="002C7BE0" w:rsidRDefault="002C7BE0">
            <w:pPr>
              <w:pStyle w:val="ConsPlusNormal"/>
            </w:pPr>
            <w:r w:rsidRPr="002C7BE0">
              <w:t>свыше 150 л. с. до 200 л. с. (свыше 110,33 кВт до 147,1 кВт) включительно</w:t>
            </w:r>
          </w:p>
        </w:tc>
        <w:tc>
          <w:tcPr>
            <w:tcW w:w="1644" w:type="dxa"/>
          </w:tcPr>
          <w:p w:rsidR="002C7BE0" w:rsidRPr="002C7BE0" w:rsidRDefault="002C7BE0">
            <w:pPr>
              <w:pStyle w:val="ConsPlusNormal"/>
              <w:jc w:val="center"/>
            </w:pPr>
            <w:r w:rsidRPr="002C7BE0">
              <w:t>50,0</w:t>
            </w:r>
          </w:p>
        </w:tc>
      </w:tr>
      <w:tr w:rsidR="002C7BE0" w:rsidRPr="002C7BE0">
        <w:tc>
          <w:tcPr>
            <w:tcW w:w="7427" w:type="dxa"/>
          </w:tcPr>
          <w:p w:rsidR="002C7BE0" w:rsidRPr="002C7BE0" w:rsidRDefault="002C7BE0">
            <w:pPr>
              <w:pStyle w:val="ConsPlusNormal"/>
            </w:pPr>
            <w:r w:rsidRPr="002C7BE0">
              <w:lastRenderedPageBreak/>
              <w:t>свыше 200 л. с. до 250 л. с. (свыше 147,1 кВт до 183,9 кВт) включительно</w:t>
            </w:r>
          </w:p>
        </w:tc>
        <w:tc>
          <w:tcPr>
            <w:tcW w:w="1644" w:type="dxa"/>
          </w:tcPr>
          <w:p w:rsidR="002C7BE0" w:rsidRPr="002C7BE0" w:rsidRDefault="002C7BE0">
            <w:pPr>
              <w:pStyle w:val="ConsPlusNormal"/>
              <w:jc w:val="center"/>
            </w:pPr>
            <w:r w:rsidRPr="002C7BE0">
              <w:t>75,0</w:t>
            </w:r>
          </w:p>
        </w:tc>
      </w:tr>
      <w:tr w:rsidR="002C7BE0" w:rsidRPr="002C7BE0">
        <w:tc>
          <w:tcPr>
            <w:tcW w:w="7427" w:type="dxa"/>
          </w:tcPr>
          <w:p w:rsidR="002C7BE0" w:rsidRPr="002C7BE0" w:rsidRDefault="002C7BE0">
            <w:pPr>
              <w:pStyle w:val="ConsPlusNormal"/>
            </w:pPr>
            <w:r w:rsidRPr="002C7BE0">
              <w:t>свыше 250 л. с. (свыше 183,9 кВт)</w:t>
            </w:r>
          </w:p>
        </w:tc>
        <w:tc>
          <w:tcPr>
            <w:tcW w:w="1644" w:type="dxa"/>
          </w:tcPr>
          <w:p w:rsidR="002C7BE0" w:rsidRPr="002C7BE0" w:rsidRDefault="002C7BE0">
            <w:pPr>
              <w:pStyle w:val="ConsPlusNormal"/>
              <w:jc w:val="center"/>
            </w:pPr>
            <w:r w:rsidRPr="002C7BE0">
              <w:t>150,0</w:t>
            </w:r>
          </w:p>
        </w:tc>
      </w:tr>
      <w:tr w:rsidR="002C7BE0" w:rsidRPr="002C7BE0">
        <w:tc>
          <w:tcPr>
            <w:tcW w:w="7427" w:type="dxa"/>
          </w:tcPr>
          <w:p w:rsidR="002C7BE0" w:rsidRPr="002C7BE0" w:rsidRDefault="002C7BE0">
            <w:pPr>
              <w:pStyle w:val="ConsPlusNormal"/>
            </w:pPr>
            <w:r w:rsidRPr="002C7BE0">
              <w:t>Мотоциклы и мотороллеры с мощностью двигателя (с каждой лошадиной силы):</w:t>
            </w:r>
          </w:p>
        </w:tc>
        <w:tc>
          <w:tcPr>
            <w:tcW w:w="1644" w:type="dxa"/>
          </w:tcPr>
          <w:p w:rsidR="002C7BE0" w:rsidRPr="002C7BE0" w:rsidRDefault="002C7BE0">
            <w:pPr>
              <w:pStyle w:val="ConsPlusNormal"/>
            </w:pPr>
          </w:p>
        </w:tc>
      </w:tr>
      <w:tr w:rsidR="002C7BE0" w:rsidRPr="002C7BE0">
        <w:tc>
          <w:tcPr>
            <w:tcW w:w="7427" w:type="dxa"/>
          </w:tcPr>
          <w:p w:rsidR="002C7BE0" w:rsidRPr="002C7BE0" w:rsidRDefault="002C7BE0">
            <w:pPr>
              <w:pStyle w:val="ConsPlusNormal"/>
            </w:pPr>
            <w:r w:rsidRPr="002C7BE0">
              <w:t>до 20 л. с. (до 14,7 кВт) включительно</w:t>
            </w:r>
          </w:p>
        </w:tc>
        <w:tc>
          <w:tcPr>
            <w:tcW w:w="1644" w:type="dxa"/>
          </w:tcPr>
          <w:p w:rsidR="002C7BE0" w:rsidRPr="002C7BE0" w:rsidRDefault="002C7BE0">
            <w:pPr>
              <w:pStyle w:val="ConsPlusNormal"/>
              <w:jc w:val="center"/>
            </w:pPr>
            <w:r w:rsidRPr="002C7BE0">
              <w:t>1,0</w:t>
            </w:r>
          </w:p>
        </w:tc>
      </w:tr>
      <w:tr w:rsidR="002C7BE0" w:rsidRPr="002C7BE0">
        <w:tc>
          <w:tcPr>
            <w:tcW w:w="7427" w:type="dxa"/>
          </w:tcPr>
          <w:p w:rsidR="002C7BE0" w:rsidRPr="002C7BE0" w:rsidRDefault="002C7BE0">
            <w:pPr>
              <w:pStyle w:val="ConsPlusNormal"/>
            </w:pPr>
            <w:r w:rsidRPr="002C7BE0">
              <w:t>свыше 20 л. с. до 35 л. с. (свыше 14,7 кВт до 25,74 кВт) включительно</w:t>
            </w:r>
          </w:p>
        </w:tc>
        <w:tc>
          <w:tcPr>
            <w:tcW w:w="1644" w:type="dxa"/>
          </w:tcPr>
          <w:p w:rsidR="002C7BE0" w:rsidRPr="002C7BE0" w:rsidRDefault="002C7BE0">
            <w:pPr>
              <w:pStyle w:val="ConsPlusNormal"/>
              <w:jc w:val="center"/>
            </w:pPr>
            <w:r w:rsidRPr="002C7BE0">
              <w:t>2,0</w:t>
            </w:r>
          </w:p>
        </w:tc>
      </w:tr>
      <w:tr w:rsidR="002C7BE0" w:rsidRPr="002C7BE0">
        <w:tc>
          <w:tcPr>
            <w:tcW w:w="7427" w:type="dxa"/>
          </w:tcPr>
          <w:p w:rsidR="002C7BE0" w:rsidRPr="002C7BE0" w:rsidRDefault="002C7BE0">
            <w:pPr>
              <w:pStyle w:val="ConsPlusNormal"/>
            </w:pPr>
            <w:r w:rsidRPr="002C7BE0">
              <w:t>свыше 35 л. с. до 40 л. с. (свыше 25,74 кВт до 29,49 кВт) включительно</w:t>
            </w:r>
          </w:p>
        </w:tc>
        <w:tc>
          <w:tcPr>
            <w:tcW w:w="1644" w:type="dxa"/>
          </w:tcPr>
          <w:p w:rsidR="002C7BE0" w:rsidRPr="002C7BE0" w:rsidRDefault="002C7BE0">
            <w:pPr>
              <w:pStyle w:val="ConsPlusNormal"/>
              <w:jc w:val="center"/>
            </w:pPr>
            <w:r w:rsidRPr="002C7BE0">
              <w:t>2,5</w:t>
            </w:r>
          </w:p>
        </w:tc>
      </w:tr>
      <w:tr w:rsidR="002C7BE0" w:rsidRPr="002C7BE0">
        <w:tc>
          <w:tcPr>
            <w:tcW w:w="7427" w:type="dxa"/>
          </w:tcPr>
          <w:p w:rsidR="002C7BE0" w:rsidRPr="002C7BE0" w:rsidRDefault="002C7BE0">
            <w:pPr>
              <w:pStyle w:val="ConsPlusNormal"/>
            </w:pPr>
            <w:r w:rsidRPr="002C7BE0">
              <w:t>свыше 40 л. с. (29,49 кВт)</w:t>
            </w:r>
          </w:p>
        </w:tc>
        <w:tc>
          <w:tcPr>
            <w:tcW w:w="1644" w:type="dxa"/>
          </w:tcPr>
          <w:p w:rsidR="002C7BE0" w:rsidRPr="002C7BE0" w:rsidRDefault="002C7BE0">
            <w:pPr>
              <w:pStyle w:val="ConsPlusNormal"/>
              <w:jc w:val="center"/>
            </w:pPr>
            <w:r w:rsidRPr="002C7BE0">
              <w:t>50,0</w:t>
            </w:r>
          </w:p>
        </w:tc>
      </w:tr>
      <w:tr w:rsidR="002C7BE0" w:rsidRPr="002C7BE0">
        <w:tc>
          <w:tcPr>
            <w:tcW w:w="7427" w:type="dxa"/>
          </w:tcPr>
          <w:p w:rsidR="002C7BE0" w:rsidRPr="002C7BE0" w:rsidRDefault="002C7BE0">
            <w:pPr>
              <w:pStyle w:val="ConsPlusNormal"/>
            </w:pPr>
            <w:r w:rsidRPr="002C7BE0">
              <w:t>Автобусы с мощностью двигателя (с каждой лошадиной силы):</w:t>
            </w:r>
          </w:p>
        </w:tc>
        <w:tc>
          <w:tcPr>
            <w:tcW w:w="1644" w:type="dxa"/>
          </w:tcPr>
          <w:p w:rsidR="002C7BE0" w:rsidRPr="002C7BE0" w:rsidRDefault="002C7BE0">
            <w:pPr>
              <w:pStyle w:val="ConsPlusNormal"/>
            </w:pPr>
          </w:p>
        </w:tc>
      </w:tr>
      <w:tr w:rsidR="002C7BE0" w:rsidRPr="002C7BE0">
        <w:tc>
          <w:tcPr>
            <w:tcW w:w="7427" w:type="dxa"/>
          </w:tcPr>
          <w:p w:rsidR="002C7BE0" w:rsidRPr="002C7BE0" w:rsidRDefault="002C7BE0">
            <w:pPr>
              <w:pStyle w:val="ConsPlusNormal"/>
            </w:pPr>
            <w:r w:rsidRPr="002C7BE0">
              <w:t>до 200 л. с. (до 147,1 кВт) включительно</w:t>
            </w:r>
          </w:p>
        </w:tc>
        <w:tc>
          <w:tcPr>
            <w:tcW w:w="1644" w:type="dxa"/>
          </w:tcPr>
          <w:p w:rsidR="002C7BE0" w:rsidRPr="002C7BE0" w:rsidRDefault="002C7BE0">
            <w:pPr>
              <w:pStyle w:val="ConsPlusNormal"/>
              <w:jc w:val="center"/>
            </w:pPr>
            <w:r w:rsidRPr="002C7BE0">
              <w:t>50,0</w:t>
            </w:r>
          </w:p>
        </w:tc>
      </w:tr>
      <w:tr w:rsidR="002C7BE0" w:rsidRPr="002C7BE0">
        <w:tc>
          <w:tcPr>
            <w:tcW w:w="7427" w:type="dxa"/>
          </w:tcPr>
          <w:p w:rsidR="002C7BE0" w:rsidRPr="002C7BE0" w:rsidRDefault="002C7BE0">
            <w:pPr>
              <w:pStyle w:val="ConsPlusNormal"/>
            </w:pPr>
            <w:r w:rsidRPr="002C7BE0">
              <w:t>свыше 200 л. с. (свыше 147,1 кВт)</w:t>
            </w:r>
          </w:p>
        </w:tc>
        <w:tc>
          <w:tcPr>
            <w:tcW w:w="1644" w:type="dxa"/>
          </w:tcPr>
          <w:p w:rsidR="002C7BE0" w:rsidRPr="002C7BE0" w:rsidRDefault="002C7BE0">
            <w:pPr>
              <w:pStyle w:val="ConsPlusNormal"/>
              <w:jc w:val="center"/>
            </w:pPr>
            <w:r w:rsidRPr="002C7BE0">
              <w:t>100,0</w:t>
            </w:r>
          </w:p>
        </w:tc>
      </w:tr>
      <w:tr w:rsidR="002C7BE0" w:rsidRPr="002C7BE0">
        <w:tc>
          <w:tcPr>
            <w:tcW w:w="7427" w:type="dxa"/>
          </w:tcPr>
          <w:p w:rsidR="002C7BE0" w:rsidRPr="002C7BE0" w:rsidRDefault="002C7BE0">
            <w:pPr>
              <w:pStyle w:val="ConsPlusNormal"/>
            </w:pPr>
            <w:proofErr w:type="gramStart"/>
            <w:r w:rsidRPr="002C7BE0">
              <w:t>Грузовые автомобили с мощностью двигателя (с каждой</w:t>
            </w:r>
            <w:proofErr w:type="gramEnd"/>
          </w:p>
          <w:p w:rsidR="002C7BE0" w:rsidRPr="002C7BE0" w:rsidRDefault="002C7BE0">
            <w:pPr>
              <w:pStyle w:val="ConsPlusNormal"/>
            </w:pPr>
            <w:r w:rsidRPr="002C7BE0">
              <w:t>лошадиной силы):</w:t>
            </w:r>
          </w:p>
        </w:tc>
        <w:tc>
          <w:tcPr>
            <w:tcW w:w="1644" w:type="dxa"/>
          </w:tcPr>
          <w:p w:rsidR="002C7BE0" w:rsidRPr="002C7BE0" w:rsidRDefault="002C7BE0">
            <w:pPr>
              <w:pStyle w:val="ConsPlusNormal"/>
            </w:pPr>
          </w:p>
        </w:tc>
      </w:tr>
      <w:tr w:rsidR="002C7BE0" w:rsidRPr="002C7BE0">
        <w:tc>
          <w:tcPr>
            <w:tcW w:w="7427" w:type="dxa"/>
          </w:tcPr>
          <w:p w:rsidR="002C7BE0" w:rsidRPr="002C7BE0" w:rsidRDefault="002C7BE0">
            <w:pPr>
              <w:pStyle w:val="ConsPlusNormal"/>
            </w:pPr>
            <w:r w:rsidRPr="002C7BE0">
              <w:t>до 100 л. с. (до 73,55 кВт) включительно</w:t>
            </w:r>
          </w:p>
        </w:tc>
        <w:tc>
          <w:tcPr>
            <w:tcW w:w="1644" w:type="dxa"/>
          </w:tcPr>
          <w:p w:rsidR="002C7BE0" w:rsidRPr="002C7BE0" w:rsidRDefault="002C7BE0">
            <w:pPr>
              <w:pStyle w:val="ConsPlusNormal"/>
              <w:jc w:val="center"/>
            </w:pPr>
            <w:r w:rsidRPr="002C7BE0">
              <w:t>25,0</w:t>
            </w:r>
          </w:p>
        </w:tc>
      </w:tr>
      <w:tr w:rsidR="002C7BE0" w:rsidRPr="002C7BE0">
        <w:tc>
          <w:tcPr>
            <w:tcW w:w="7427" w:type="dxa"/>
          </w:tcPr>
          <w:p w:rsidR="002C7BE0" w:rsidRPr="002C7BE0" w:rsidRDefault="002C7BE0">
            <w:pPr>
              <w:pStyle w:val="ConsPlusNormal"/>
            </w:pPr>
            <w:r w:rsidRPr="002C7BE0">
              <w:t>свыше 100 л. с. до 150 л. с. (свыше 73,55 кВт до 110,33 кВт) включительно</w:t>
            </w:r>
          </w:p>
        </w:tc>
        <w:tc>
          <w:tcPr>
            <w:tcW w:w="1644" w:type="dxa"/>
          </w:tcPr>
          <w:p w:rsidR="002C7BE0" w:rsidRPr="002C7BE0" w:rsidRDefault="002C7BE0">
            <w:pPr>
              <w:pStyle w:val="ConsPlusNormal"/>
              <w:jc w:val="center"/>
            </w:pPr>
            <w:r w:rsidRPr="002C7BE0">
              <w:t>40,0</w:t>
            </w:r>
          </w:p>
        </w:tc>
      </w:tr>
      <w:tr w:rsidR="002C7BE0" w:rsidRPr="002C7BE0">
        <w:tc>
          <w:tcPr>
            <w:tcW w:w="7427" w:type="dxa"/>
          </w:tcPr>
          <w:p w:rsidR="002C7BE0" w:rsidRPr="002C7BE0" w:rsidRDefault="002C7BE0">
            <w:pPr>
              <w:pStyle w:val="ConsPlusNormal"/>
            </w:pPr>
            <w:r w:rsidRPr="002C7BE0">
              <w:t>свыше 150 л. с. до 200 л. с. (свыше 110,33 кВт до 147,1 кВт) включительно</w:t>
            </w:r>
          </w:p>
        </w:tc>
        <w:tc>
          <w:tcPr>
            <w:tcW w:w="1644" w:type="dxa"/>
          </w:tcPr>
          <w:p w:rsidR="002C7BE0" w:rsidRPr="002C7BE0" w:rsidRDefault="002C7BE0">
            <w:pPr>
              <w:pStyle w:val="ConsPlusNormal"/>
              <w:jc w:val="center"/>
            </w:pPr>
            <w:r w:rsidRPr="002C7BE0">
              <w:t>50,0</w:t>
            </w:r>
          </w:p>
        </w:tc>
      </w:tr>
      <w:tr w:rsidR="002C7BE0" w:rsidRPr="002C7BE0">
        <w:tc>
          <w:tcPr>
            <w:tcW w:w="7427" w:type="dxa"/>
          </w:tcPr>
          <w:p w:rsidR="002C7BE0" w:rsidRPr="002C7BE0" w:rsidRDefault="002C7BE0">
            <w:pPr>
              <w:pStyle w:val="ConsPlusNormal"/>
            </w:pPr>
            <w:r w:rsidRPr="002C7BE0">
              <w:t>свыше 200 л. с. до 250 л. с. (свыше 147,1 кВт до 183,9 кВт) включительно</w:t>
            </w:r>
          </w:p>
        </w:tc>
        <w:tc>
          <w:tcPr>
            <w:tcW w:w="1644" w:type="dxa"/>
          </w:tcPr>
          <w:p w:rsidR="002C7BE0" w:rsidRPr="002C7BE0" w:rsidRDefault="002C7BE0">
            <w:pPr>
              <w:pStyle w:val="ConsPlusNormal"/>
              <w:jc w:val="center"/>
            </w:pPr>
            <w:r w:rsidRPr="002C7BE0">
              <w:t>65,0</w:t>
            </w:r>
          </w:p>
        </w:tc>
      </w:tr>
      <w:tr w:rsidR="002C7BE0" w:rsidRPr="002C7BE0">
        <w:tc>
          <w:tcPr>
            <w:tcW w:w="7427" w:type="dxa"/>
          </w:tcPr>
          <w:p w:rsidR="002C7BE0" w:rsidRPr="002C7BE0" w:rsidRDefault="002C7BE0">
            <w:pPr>
              <w:pStyle w:val="ConsPlusNormal"/>
            </w:pPr>
            <w:r w:rsidRPr="002C7BE0">
              <w:t>свыше 250 л. с. (свыше 183,9 кВт)</w:t>
            </w:r>
          </w:p>
        </w:tc>
        <w:tc>
          <w:tcPr>
            <w:tcW w:w="1644" w:type="dxa"/>
          </w:tcPr>
          <w:p w:rsidR="002C7BE0" w:rsidRPr="002C7BE0" w:rsidRDefault="002C7BE0">
            <w:pPr>
              <w:pStyle w:val="ConsPlusNormal"/>
              <w:jc w:val="center"/>
            </w:pPr>
            <w:r w:rsidRPr="002C7BE0">
              <w:t>85,0</w:t>
            </w:r>
          </w:p>
        </w:tc>
      </w:tr>
      <w:tr w:rsidR="002C7BE0" w:rsidRPr="002C7BE0">
        <w:tc>
          <w:tcPr>
            <w:tcW w:w="7427" w:type="dxa"/>
          </w:tcPr>
          <w:p w:rsidR="002C7BE0" w:rsidRPr="002C7BE0" w:rsidRDefault="002C7BE0">
            <w:pPr>
              <w:pStyle w:val="ConsPlusNormal"/>
            </w:pPr>
            <w:r w:rsidRPr="002C7BE0">
              <w:t>Другие самоходные транспортные средства, машины и механизмы на пневматическом и гусеничном ходу (с каждой лошадиной силы)</w:t>
            </w:r>
          </w:p>
        </w:tc>
        <w:tc>
          <w:tcPr>
            <w:tcW w:w="1644" w:type="dxa"/>
          </w:tcPr>
          <w:p w:rsidR="002C7BE0" w:rsidRPr="002C7BE0" w:rsidRDefault="002C7BE0">
            <w:pPr>
              <w:pStyle w:val="ConsPlusNormal"/>
              <w:jc w:val="center"/>
            </w:pPr>
            <w:r w:rsidRPr="002C7BE0">
              <w:t>25,0</w:t>
            </w:r>
          </w:p>
        </w:tc>
      </w:tr>
      <w:tr w:rsidR="002C7BE0" w:rsidRPr="002C7BE0">
        <w:tc>
          <w:tcPr>
            <w:tcW w:w="7427" w:type="dxa"/>
          </w:tcPr>
          <w:p w:rsidR="002C7BE0" w:rsidRPr="002C7BE0" w:rsidRDefault="002C7BE0">
            <w:pPr>
              <w:pStyle w:val="ConsPlusNormal"/>
            </w:pPr>
            <w:proofErr w:type="gramStart"/>
            <w:r w:rsidRPr="002C7BE0">
              <w:t>Снегоходы, мотосани с мощностью двигателя (с каждой</w:t>
            </w:r>
            <w:proofErr w:type="gramEnd"/>
          </w:p>
          <w:p w:rsidR="002C7BE0" w:rsidRPr="002C7BE0" w:rsidRDefault="002C7BE0">
            <w:pPr>
              <w:pStyle w:val="ConsPlusNormal"/>
            </w:pPr>
            <w:r w:rsidRPr="002C7BE0">
              <w:t>лошадиной силы):</w:t>
            </w:r>
          </w:p>
        </w:tc>
        <w:tc>
          <w:tcPr>
            <w:tcW w:w="1644" w:type="dxa"/>
          </w:tcPr>
          <w:p w:rsidR="002C7BE0" w:rsidRPr="002C7BE0" w:rsidRDefault="002C7BE0">
            <w:pPr>
              <w:pStyle w:val="ConsPlusNormal"/>
            </w:pPr>
          </w:p>
        </w:tc>
      </w:tr>
      <w:tr w:rsidR="002C7BE0" w:rsidRPr="002C7BE0">
        <w:tc>
          <w:tcPr>
            <w:tcW w:w="7427" w:type="dxa"/>
          </w:tcPr>
          <w:p w:rsidR="002C7BE0" w:rsidRPr="002C7BE0" w:rsidRDefault="002C7BE0">
            <w:pPr>
              <w:pStyle w:val="ConsPlusNormal"/>
            </w:pPr>
            <w:r w:rsidRPr="002C7BE0">
              <w:t>до 50 л. с. (до 36,77 кВт) включительно</w:t>
            </w:r>
          </w:p>
        </w:tc>
        <w:tc>
          <w:tcPr>
            <w:tcW w:w="1644" w:type="dxa"/>
          </w:tcPr>
          <w:p w:rsidR="002C7BE0" w:rsidRPr="002C7BE0" w:rsidRDefault="002C7BE0">
            <w:pPr>
              <w:pStyle w:val="ConsPlusNormal"/>
              <w:jc w:val="center"/>
            </w:pPr>
            <w:r w:rsidRPr="002C7BE0">
              <w:t>25,0</w:t>
            </w:r>
          </w:p>
        </w:tc>
      </w:tr>
      <w:tr w:rsidR="002C7BE0" w:rsidRPr="002C7BE0">
        <w:tc>
          <w:tcPr>
            <w:tcW w:w="7427" w:type="dxa"/>
          </w:tcPr>
          <w:p w:rsidR="002C7BE0" w:rsidRPr="002C7BE0" w:rsidRDefault="002C7BE0">
            <w:pPr>
              <w:pStyle w:val="ConsPlusNormal"/>
            </w:pPr>
            <w:r w:rsidRPr="002C7BE0">
              <w:t>свыше 50 л. с. (свыше 36,77 кВт)</w:t>
            </w:r>
          </w:p>
        </w:tc>
        <w:tc>
          <w:tcPr>
            <w:tcW w:w="1644" w:type="dxa"/>
          </w:tcPr>
          <w:p w:rsidR="002C7BE0" w:rsidRPr="002C7BE0" w:rsidRDefault="002C7BE0">
            <w:pPr>
              <w:pStyle w:val="ConsPlusNormal"/>
              <w:jc w:val="center"/>
            </w:pPr>
            <w:r w:rsidRPr="002C7BE0">
              <w:t>50,0</w:t>
            </w:r>
          </w:p>
        </w:tc>
      </w:tr>
      <w:tr w:rsidR="002C7BE0" w:rsidRPr="002C7BE0">
        <w:tc>
          <w:tcPr>
            <w:tcW w:w="7427" w:type="dxa"/>
          </w:tcPr>
          <w:p w:rsidR="002C7BE0" w:rsidRPr="002C7BE0" w:rsidRDefault="002C7BE0">
            <w:pPr>
              <w:pStyle w:val="ConsPlusNormal"/>
            </w:pPr>
            <w:r w:rsidRPr="002C7BE0">
              <w:t>Катера, моторные лодки и другие водные транспортные средства с мощностью двигателя (с каждой лошадиной силы):</w:t>
            </w:r>
          </w:p>
        </w:tc>
        <w:tc>
          <w:tcPr>
            <w:tcW w:w="1644" w:type="dxa"/>
          </w:tcPr>
          <w:p w:rsidR="002C7BE0" w:rsidRPr="002C7BE0" w:rsidRDefault="002C7BE0">
            <w:pPr>
              <w:pStyle w:val="ConsPlusNormal"/>
            </w:pPr>
          </w:p>
        </w:tc>
      </w:tr>
      <w:tr w:rsidR="002C7BE0" w:rsidRPr="002C7BE0">
        <w:tc>
          <w:tcPr>
            <w:tcW w:w="7427" w:type="dxa"/>
          </w:tcPr>
          <w:p w:rsidR="002C7BE0" w:rsidRPr="002C7BE0" w:rsidRDefault="002C7BE0">
            <w:pPr>
              <w:pStyle w:val="ConsPlusNormal"/>
            </w:pPr>
            <w:r w:rsidRPr="002C7BE0">
              <w:t>до 100 л. с. (до 73,55 кВт) включительно</w:t>
            </w:r>
          </w:p>
        </w:tc>
        <w:tc>
          <w:tcPr>
            <w:tcW w:w="1644" w:type="dxa"/>
          </w:tcPr>
          <w:p w:rsidR="002C7BE0" w:rsidRPr="002C7BE0" w:rsidRDefault="002C7BE0">
            <w:pPr>
              <w:pStyle w:val="ConsPlusNormal"/>
              <w:jc w:val="center"/>
            </w:pPr>
            <w:r w:rsidRPr="002C7BE0">
              <w:t>50,0</w:t>
            </w:r>
          </w:p>
        </w:tc>
      </w:tr>
      <w:tr w:rsidR="002C7BE0" w:rsidRPr="002C7BE0">
        <w:tc>
          <w:tcPr>
            <w:tcW w:w="7427" w:type="dxa"/>
          </w:tcPr>
          <w:p w:rsidR="002C7BE0" w:rsidRPr="002C7BE0" w:rsidRDefault="002C7BE0">
            <w:pPr>
              <w:pStyle w:val="ConsPlusNormal"/>
            </w:pPr>
            <w:r w:rsidRPr="002C7BE0">
              <w:t>свыше 100 л. с. (свыше 73,55 кВт)</w:t>
            </w:r>
          </w:p>
        </w:tc>
        <w:tc>
          <w:tcPr>
            <w:tcW w:w="1644" w:type="dxa"/>
          </w:tcPr>
          <w:p w:rsidR="002C7BE0" w:rsidRPr="002C7BE0" w:rsidRDefault="002C7BE0">
            <w:pPr>
              <w:pStyle w:val="ConsPlusNormal"/>
              <w:jc w:val="center"/>
            </w:pPr>
            <w:r w:rsidRPr="002C7BE0">
              <w:t>100,0</w:t>
            </w:r>
          </w:p>
        </w:tc>
      </w:tr>
      <w:tr w:rsidR="002C7BE0" w:rsidRPr="002C7BE0">
        <w:tc>
          <w:tcPr>
            <w:tcW w:w="7427" w:type="dxa"/>
          </w:tcPr>
          <w:p w:rsidR="002C7BE0" w:rsidRPr="002C7BE0" w:rsidRDefault="002C7BE0">
            <w:pPr>
              <w:pStyle w:val="ConsPlusNormal"/>
            </w:pPr>
            <w:r w:rsidRPr="002C7BE0">
              <w:t>Яхты и другие парусно-моторные суда с мощностью двигателя (с каждой лошадиной силы):</w:t>
            </w:r>
          </w:p>
        </w:tc>
        <w:tc>
          <w:tcPr>
            <w:tcW w:w="1644" w:type="dxa"/>
          </w:tcPr>
          <w:p w:rsidR="002C7BE0" w:rsidRPr="002C7BE0" w:rsidRDefault="002C7BE0">
            <w:pPr>
              <w:pStyle w:val="ConsPlusNormal"/>
            </w:pPr>
          </w:p>
        </w:tc>
      </w:tr>
      <w:tr w:rsidR="002C7BE0" w:rsidRPr="002C7BE0">
        <w:tc>
          <w:tcPr>
            <w:tcW w:w="7427" w:type="dxa"/>
          </w:tcPr>
          <w:p w:rsidR="002C7BE0" w:rsidRPr="002C7BE0" w:rsidRDefault="002C7BE0">
            <w:pPr>
              <w:pStyle w:val="ConsPlusNormal"/>
            </w:pPr>
            <w:r w:rsidRPr="002C7BE0">
              <w:t>до 100 л. с. (до 73,55 кВт) включительно</w:t>
            </w:r>
          </w:p>
        </w:tc>
        <w:tc>
          <w:tcPr>
            <w:tcW w:w="1644" w:type="dxa"/>
          </w:tcPr>
          <w:p w:rsidR="002C7BE0" w:rsidRPr="002C7BE0" w:rsidRDefault="002C7BE0">
            <w:pPr>
              <w:pStyle w:val="ConsPlusNormal"/>
              <w:jc w:val="center"/>
            </w:pPr>
            <w:r w:rsidRPr="002C7BE0">
              <w:t>100,0</w:t>
            </w:r>
          </w:p>
        </w:tc>
      </w:tr>
      <w:tr w:rsidR="002C7BE0" w:rsidRPr="002C7BE0">
        <w:tc>
          <w:tcPr>
            <w:tcW w:w="7427" w:type="dxa"/>
          </w:tcPr>
          <w:p w:rsidR="002C7BE0" w:rsidRPr="002C7BE0" w:rsidRDefault="002C7BE0">
            <w:pPr>
              <w:pStyle w:val="ConsPlusNormal"/>
            </w:pPr>
            <w:r w:rsidRPr="002C7BE0">
              <w:t>свыше 100 л. с. (свыше 73,55 кВт)</w:t>
            </w:r>
          </w:p>
        </w:tc>
        <w:tc>
          <w:tcPr>
            <w:tcW w:w="1644" w:type="dxa"/>
          </w:tcPr>
          <w:p w:rsidR="002C7BE0" w:rsidRPr="002C7BE0" w:rsidRDefault="002C7BE0">
            <w:pPr>
              <w:pStyle w:val="ConsPlusNormal"/>
              <w:jc w:val="center"/>
            </w:pPr>
            <w:r w:rsidRPr="002C7BE0">
              <w:t>200,0</w:t>
            </w:r>
          </w:p>
        </w:tc>
      </w:tr>
      <w:tr w:rsidR="002C7BE0" w:rsidRPr="002C7BE0">
        <w:tc>
          <w:tcPr>
            <w:tcW w:w="7427" w:type="dxa"/>
          </w:tcPr>
          <w:p w:rsidR="002C7BE0" w:rsidRPr="002C7BE0" w:rsidRDefault="002C7BE0">
            <w:pPr>
              <w:pStyle w:val="ConsPlusNormal"/>
            </w:pPr>
            <w:proofErr w:type="spellStart"/>
            <w:r w:rsidRPr="002C7BE0">
              <w:lastRenderedPageBreak/>
              <w:t>Гидроциклы</w:t>
            </w:r>
            <w:proofErr w:type="spellEnd"/>
            <w:r w:rsidRPr="002C7BE0">
              <w:t xml:space="preserve"> с мощностью двигателя (с каждой лошадиной силы):</w:t>
            </w:r>
          </w:p>
        </w:tc>
        <w:tc>
          <w:tcPr>
            <w:tcW w:w="1644" w:type="dxa"/>
          </w:tcPr>
          <w:p w:rsidR="002C7BE0" w:rsidRPr="002C7BE0" w:rsidRDefault="002C7BE0">
            <w:pPr>
              <w:pStyle w:val="ConsPlusNormal"/>
            </w:pPr>
          </w:p>
        </w:tc>
      </w:tr>
      <w:tr w:rsidR="002C7BE0" w:rsidRPr="002C7BE0">
        <w:tc>
          <w:tcPr>
            <w:tcW w:w="7427" w:type="dxa"/>
          </w:tcPr>
          <w:p w:rsidR="002C7BE0" w:rsidRPr="002C7BE0" w:rsidRDefault="002C7BE0">
            <w:pPr>
              <w:pStyle w:val="ConsPlusNormal"/>
            </w:pPr>
            <w:r w:rsidRPr="002C7BE0">
              <w:t>до 100 л. с. (до 73,55 кВт) включительно</w:t>
            </w:r>
          </w:p>
        </w:tc>
        <w:tc>
          <w:tcPr>
            <w:tcW w:w="1644" w:type="dxa"/>
          </w:tcPr>
          <w:p w:rsidR="002C7BE0" w:rsidRPr="002C7BE0" w:rsidRDefault="002C7BE0">
            <w:pPr>
              <w:pStyle w:val="ConsPlusNormal"/>
              <w:jc w:val="center"/>
            </w:pPr>
            <w:r w:rsidRPr="002C7BE0">
              <w:t>125,0</w:t>
            </w:r>
          </w:p>
        </w:tc>
      </w:tr>
      <w:tr w:rsidR="002C7BE0" w:rsidRPr="002C7BE0">
        <w:tc>
          <w:tcPr>
            <w:tcW w:w="7427" w:type="dxa"/>
          </w:tcPr>
          <w:p w:rsidR="002C7BE0" w:rsidRPr="002C7BE0" w:rsidRDefault="002C7BE0">
            <w:pPr>
              <w:pStyle w:val="ConsPlusNormal"/>
            </w:pPr>
            <w:r w:rsidRPr="002C7BE0">
              <w:t>свыше 100 л. с. (свыше 73,55 кВт)</w:t>
            </w:r>
          </w:p>
        </w:tc>
        <w:tc>
          <w:tcPr>
            <w:tcW w:w="1644" w:type="dxa"/>
          </w:tcPr>
          <w:p w:rsidR="002C7BE0" w:rsidRPr="002C7BE0" w:rsidRDefault="002C7BE0">
            <w:pPr>
              <w:pStyle w:val="ConsPlusNormal"/>
              <w:jc w:val="center"/>
            </w:pPr>
            <w:r w:rsidRPr="002C7BE0">
              <w:t>250,0</w:t>
            </w:r>
          </w:p>
        </w:tc>
      </w:tr>
      <w:tr w:rsidR="002C7BE0" w:rsidRPr="002C7BE0">
        <w:tc>
          <w:tcPr>
            <w:tcW w:w="7427" w:type="dxa"/>
          </w:tcPr>
          <w:p w:rsidR="002C7BE0" w:rsidRPr="002C7BE0" w:rsidRDefault="002C7BE0">
            <w:pPr>
              <w:pStyle w:val="ConsPlusNormal"/>
            </w:pPr>
            <w:r w:rsidRPr="002C7BE0">
              <w:t>Несамоходные (буксируемые) суда, для которых определяется валовая вместимость (с каждой регистровой тонны валовой вместимости)</w:t>
            </w:r>
          </w:p>
        </w:tc>
        <w:tc>
          <w:tcPr>
            <w:tcW w:w="1644" w:type="dxa"/>
          </w:tcPr>
          <w:p w:rsidR="002C7BE0" w:rsidRPr="002C7BE0" w:rsidRDefault="002C7BE0">
            <w:pPr>
              <w:pStyle w:val="ConsPlusNormal"/>
              <w:jc w:val="center"/>
            </w:pPr>
            <w:r w:rsidRPr="002C7BE0">
              <w:t>100,0</w:t>
            </w:r>
          </w:p>
        </w:tc>
      </w:tr>
      <w:tr w:rsidR="002C7BE0" w:rsidRPr="002C7BE0">
        <w:tc>
          <w:tcPr>
            <w:tcW w:w="7427" w:type="dxa"/>
          </w:tcPr>
          <w:p w:rsidR="002C7BE0" w:rsidRPr="002C7BE0" w:rsidRDefault="002C7BE0">
            <w:pPr>
              <w:pStyle w:val="ConsPlusNormal"/>
            </w:pPr>
            <w:r w:rsidRPr="002C7BE0">
              <w:t>Самолеты, вертолеты и иные воздушные суда, имеющие двигатели (с каждой лошадиной силы)</w:t>
            </w:r>
          </w:p>
        </w:tc>
        <w:tc>
          <w:tcPr>
            <w:tcW w:w="1644" w:type="dxa"/>
          </w:tcPr>
          <w:p w:rsidR="002C7BE0" w:rsidRPr="002C7BE0" w:rsidRDefault="002C7BE0">
            <w:pPr>
              <w:pStyle w:val="ConsPlusNormal"/>
              <w:jc w:val="center"/>
            </w:pPr>
            <w:r w:rsidRPr="002C7BE0">
              <w:t>125,0</w:t>
            </w:r>
          </w:p>
        </w:tc>
      </w:tr>
      <w:tr w:rsidR="002C7BE0" w:rsidRPr="002C7BE0">
        <w:tc>
          <w:tcPr>
            <w:tcW w:w="7427" w:type="dxa"/>
          </w:tcPr>
          <w:p w:rsidR="002C7BE0" w:rsidRPr="002C7BE0" w:rsidRDefault="002C7BE0">
            <w:pPr>
              <w:pStyle w:val="ConsPlusNormal"/>
            </w:pPr>
            <w:r w:rsidRPr="002C7BE0">
              <w:t>Самолеты, имеющие реактивные двигатели (с каждого килограмма силы тяги)</w:t>
            </w:r>
          </w:p>
        </w:tc>
        <w:tc>
          <w:tcPr>
            <w:tcW w:w="1644" w:type="dxa"/>
          </w:tcPr>
          <w:p w:rsidR="002C7BE0" w:rsidRPr="002C7BE0" w:rsidRDefault="002C7BE0">
            <w:pPr>
              <w:pStyle w:val="ConsPlusNormal"/>
              <w:jc w:val="center"/>
            </w:pPr>
            <w:r w:rsidRPr="002C7BE0">
              <w:t>100,0</w:t>
            </w:r>
          </w:p>
        </w:tc>
      </w:tr>
      <w:tr w:rsidR="002C7BE0" w:rsidRPr="002C7BE0">
        <w:tc>
          <w:tcPr>
            <w:tcW w:w="7427" w:type="dxa"/>
          </w:tcPr>
          <w:p w:rsidR="002C7BE0" w:rsidRPr="002C7BE0" w:rsidRDefault="002C7BE0">
            <w:pPr>
              <w:pStyle w:val="ConsPlusNormal"/>
            </w:pPr>
            <w:r w:rsidRPr="002C7BE0">
              <w:t>Другие водные и воздушные транспортные средства, не имеющие двигателей (с единицы транспортного средства)</w:t>
            </w:r>
          </w:p>
        </w:tc>
        <w:tc>
          <w:tcPr>
            <w:tcW w:w="1644" w:type="dxa"/>
          </w:tcPr>
          <w:p w:rsidR="002C7BE0" w:rsidRPr="002C7BE0" w:rsidRDefault="002C7BE0">
            <w:pPr>
              <w:pStyle w:val="ConsPlusNormal"/>
              <w:jc w:val="center"/>
            </w:pPr>
            <w:r w:rsidRPr="002C7BE0">
              <w:t>1000,0</w:t>
            </w:r>
          </w:p>
        </w:tc>
      </w:tr>
    </w:tbl>
    <w:p w:rsidR="002C7BE0" w:rsidRPr="002C7BE0" w:rsidRDefault="002C7BE0">
      <w:pPr>
        <w:pStyle w:val="ConsPlusNormal"/>
        <w:jc w:val="both"/>
      </w:pPr>
    </w:p>
    <w:p w:rsidR="002C7BE0" w:rsidRPr="002C7BE0" w:rsidRDefault="002C7BE0">
      <w:pPr>
        <w:pStyle w:val="ConsPlusNormal"/>
        <w:ind w:firstLine="540"/>
        <w:jc w:val="both"/>
        <w:outlineLvl w:val="1"/>
      </w:pPr>
      <w:r w:rsidRPr="002C7BE0">
        <w:t xml:space="preserve">Статья 7. - </w:t>
      </w:r>
      <w:proofErr w:type="gramStart"/>
      <w:r w:rsidRPr="002C7BE0">
        <w:t>Исключена</w:t>
      </w:r>
      <w:proofErr w:type="gramEnd"/>
      <w:r w:rsidRPr="002C7BE0">
        <w:t xml:space="preserve"> с 1 января 2009 года. - </w:t>
      </w:r>
      <w:hyperlink r:id="rId11" w:history="1">
        <w:r w:rsidRPr="002C7BE0">
          <w:t>Закон</w:t>
        </w:r>
      </w:hyperlink>
      <w:r w:rsidRPr="002C7BE0">
        <w:t xml:space="preserve"> Оренбургской области от 01.11.2008 N 2529/518-IV-ОЗ.</w:t>
      </w:r>
    </w:p>
    <w:p w:rsidR="002C7BE0" w:rsidRPr="002C7BE0" w:rsidRDefault="002C7BE0">
      <w:pPr>
        <w:pStyle w:val="ConsPlusNormal"/>
        <w:jc w:val="both"/>
      </w:pPr>
    </w:p>
    <w:p w:rsidR="002C7BE0" w:rsidRPr="002C7BE0" w:rsidRDefault="002C7BE0">
      <w:pPr>
        <w:pStyle w:val="ConsPlusNormal"/>
        <w:ind w:firstLine="540"/>
        <w:jc w:val="both"/>
        <w:outlineLvl w:val="1"/>
      </w:pPr>
      <w:r w:rsidRPr="002C7BE0">
        <w:t>Статья 8. Порядок и сроки уплаты налога и авансовых платежей по налогу</w:t>
      </w:r>
    </w:p>
    <w:p w:rsidR="002C7BE0" w:rsidRPr="002C7BE0" w:rsidRDefault="002C7BE0">
      <w:pPr>
        <w:pStyle w:val="ConsPlusNormal"/>
        <w:ind w:firstLine="540"/>
        <w:jc w:val="both"/>
      </w:pPr>
      <w:r w:rsidRPr="002C7BE0">
        <w:t xml:space="preserve">(в ред. </w:t>
      </w:r>
      <w:hyperlink r:id="rId12" w:history="1">
        <w:r w:rsidRPr="002C7BE0">
          <w:t>Закона</w:t>
        </w:r>
      </w:hyperlink>
      <w:r w:rsidRPr="002C7BE0">
        <w:t xml:space="preserve"> Оренбургской области от 17.11.2010 N 4009/920-IV-ОЗ)</w:t>
      </w:r>
    </w:p>
    <w:p w:rsidR="002C7BE0" w:rsidRPr="002C7BE0" w:rsidRDefault="002C7BE0">
      <w:pPr>
        <w:pStyle w:val="ConsPlusNormal"/>
        <w:jc w:val="both"/>
      </w:pPr>
    </w:p>
    <w:p w:rsidR="002C7BE0" w:rsidRPr="002C7BE0" w:rsidRDefault="002C7BE0">
      <w:pPr>
        <w:pStyle w:val="ConsPlusNormal"/>
        <w:ind w:firstLine="540"/>
        <w:jc w:val="both"/>
      </w:pPr>
      <w:r w:rsidRPr="002C7BE0">
        <w:t>1. Уплата налога для налогоплательщиков, являющихся организациями, производится не позднее 25 февраля года, следующего за истекшим налоговым периодом.</w:t>
      </w:r>
    </w:p>
    <w:p w:rsidR="002C7BE0" w:rsidRPr="002C7BE0" w:rsidRDefault="002C7BE0">
      <w:pPr>
        <w:pStyle w:val="ConsPlusNormal"/>
        <w:spacing w:before="220"/>
        <w:ind w:firstLine="540"/>
        <w:jc w:val="both"/>
      </w:pPr>
      <w:r w:rsidRPr="002C7BE0">
        <w:t xml:space="preserve">Абзац исключен. - </w:t>
      </w:r>
      <w:hyperlink r:id="rId13" w:history="1">
        <w:r w:rsidRPr="002C7BE0">
          <w:t>Закон</w:t>
        </w:r>
      </w:hyperlink>
      <w:r w:rsidRPr="002C7BE0">
        <w:t xml:space="preserve"> Оренбургской области от 31.10.2014 N 2597/753-V-ОЗ.</w:t>
      </w:r>
    </w:p>
    <w:p w:rsidR="002C7BE0" w:rsidRPr="002C7BE0" w:rsidRDefault="002C7BE0">
      <w:pPr>
        <w:pStyle w:val="ConsPlusNormal"/>
        <w:spacing w:before="220"/>
        <w:ind w:firstLine="540"/>
        <w:jc w:val="both"/>
      </w:pPr>
      <w:r w:rsidRPr="002C7BE0">
        <w:t>2. В течение налогового периода налогоплательщики, являющиеся организациями, уплачивают авансовые платежи по налогу. Уплата авансовых платежей по налогу в течение налогового периода производится не позднее последнего числа месяца, следующего за истекшим отчетным периодом.</w:t>
      </w:r>
    </w:p>
    <w:p w:rsidR="002C7BE0" w:rsidRPr="002C7BE0" w:rsidRDefault="002C7B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C7BE0" w:rsidRPr="002C7BE0">
        <w:trPr>
          <w:jc w:val="center"/>
        </w:trPr>
        <w:tc>
          <w:tcPr>
            <w:tcW w:w="9294" w:type="dxa"/>
            <w:tcBorders>
              <w:top w:val="nil"/>
              <w:left w:val="single" w:sz="24" w:space="0" w:color="CED3F1"/>
              <w:bottom w:val="nil"/>
              <w:right w:val="single" w:sz="24" w:space="0" w:color="F4F3F8"/>
            </w:tcBorders>
            <w:shd w:val="clear" w:color="auto" w:fill="F4F3F8"/>
          </w:tcPr>
          <w:p w:rsidR="002C7BE0" w:rsidRPr="002C7BE0" w:rsidRDefault="002C7BE0">
            <w:pPr>
              <w:pStyle w:val="ConsPlusNormal"/>
              <w:jc w:val="both"/>
            </w:pPr>
            <w:hyperlink r:id="rId14" w:history="1">
              <w:r w:rsidRPr="002C7BE0">
                <w:t>Законом</w:t>
              </w:r>
            </w:hyperlink>
            <w:r w:rsidRPr="002C7BE0">
              <w:t xml:space="preserve"> Оренбургской области от 05.09.2016 N 4037/1104-V-ОЗ в часть 2 статьи 8 внесены изменения, которые </w:t>
            </w:r>
            <w:hyperlink r:id="rId15" w:history="1">
              <w:r w:rsidRPr="002C7BE0">
                <w:t>действуют</w:t>
              </w:r>
            </w:hyperlink>
            <w:r w:rsidRPr="002C7BE0">
              <w:t xml:space="preserve"> до 31 декабря 2018 года.</w:t>
            </w:r>
          </w:p>
        </w:tc>
      </w:tr>
    </w:tbl>
    <w:p w:rsidR="002C7BE0" w:rsidRPr="002C7BE0" w:rsidRDefault="002C7BE0">
      <w:pPr>
        <w:pStyle w:val="ConsPlusNormal"/>
        <w:spacing w:before="220"/>
        <w:ind w:firstLine="540"/>
        <w:jc w:val="both"/>
      </w:pPr>
      <w:r w:rsidRPr="002C7BE0">
        <w:t>Налогоплательщики - организации в отношении транспортного средства, имеющего разрешенную максимальную массу свыше 12 тонн, зарегистрированного в реестре транспортных средств системы взимания платы, исчисленные авансовые платежи по налогу не уплачивают.</w:t>
      </w:r>
    </w:p>
    <w:p w:rsidR="002C7BE0" w:rsidRPr="002C7BE0" w:rsidRDefault="002C7BE0">
      <w:pPr>
        <w:pStyle w:val="ConsPlusNormal"/>
        <w:jc w:val="both"/>
      </w:pPr>
      <w:r w:rsidRPr="002C7BE0">
        <w:t xml:space="preserve">(абзац введен </w:t>
      </w:r>
      <w:hyperlink r:id="rId16" w:history="1">
        <w:r w:rsidRPr="002C7BE0">
          <w:t>Законом</w:t>
        </w:r>
      </w:hyperlink>
      <w:r w:rsidRPr="002C7BE0">
        <w:t xml:space="preserve"> Оренбургской области от 05.09.2016 N 4037/1104-V-ОЗ)</w:t>
      </w:r>
    </w:p>
    <w:p w:rsidR="002C7BE0" w:rsidRPr="002C7BE0" w:rsidRDefault="002C7BE0">
      <w:pPr>
        <w:pStyle w:val="ConsPlusNormal"/>
        <w:jc w:val="both"/>
      </w:pPr>
    </w:p>
    <w:p w:rsidR="002C7BE0" w:rsidRPr="002C7BE0" w:rsidRDefault="002C7BE0">
      <w:pPr>
        <w:pStyle w:val="ConsPlusNormal"/>
        <w:ind w:firstLine="540"/>
        <w:jc w:val="both"/>
        <w:outlineLvl w:val="1"/>
      </w:pPr>
      <w:r w:rsidRPr="002C7BE0">
        <w:t>Статья 9. Налоговые льготы</w:t>
      </w:r>
    </w:p>
    <w:p w:rsidR="002C7BE0" w:rsidRPr="002C7BE0" w:rsidRDefault="002C7BE0">
      <w:pPr>
        <w:pStyle w:val="ConsPlusNormal"/>
        <w:ind w:firstLine="540"/>
        <w:jc w:val="both"/>
      </w:pPr>
      <w:r w:rsidRPr="002C7BE0">
        <w:t xml:space="preserve">(в ред. </w:t>
      </w:r>
      <w:hyperlink r:id="rId17" w:history="1">
        <w:r w:rsidRPr="002C7BE0">
          <w:t>Закона</w:t>
        </w:r>
      </w:hyperlink>
      <w:r w:rsidRPr="002C7BE0">
        <w:t xml:space="preserve"> Оренбургской области от 24.02.2016 N 3702/1022-V-ОЗ)</w:t>
      </w:r>
    </w:p>
    <w:p w:rsidR="002C7BE0" w:rsidRPr="002C7BE0" w:rsidRDefault="002C7BE0">
      <w:pPr>
        <w:pStyle w:val="ConsPlusNormal"/>
        <w:jc w:val="both"/>
      </w:pPr>
    </w:p>
    <w:p w:rsidR="002C7BE0" w:rsidRPr="002C7BE0" w:rsidRDefault="002C7BE0">
      <w:pPr>
        <w:pStyle w:val="ConsPlusNormal"/>
        <w:ind w:firstLine="540"/>
        <w:jc w:val="both"/>
      </w:pPr>
      <w:r w:rsidRPr="002C7BE0">
        <w:t>1. Освобождаются от уплаты налога:</w:t>
      </w:r>
    </w:p>
    <w:p w:rsidR="002C7BE0" w:rsidRPr="002C7BE0" w:rsidRDefault="002C7BE0">
      <w:pPr>
        <w:pStyle w:val="ConsPlusNormal"/>
        <w:spacing w:before="220"/>
        <w:ind w:firstLine="540"/>
        <w:jc w:val="both"/>
      </w:pPr>
      <w:r w:rsidRPr="002C7BE0">
        <w:t>1) Герои Советского Союза, Герои Российской Федерации, Герои Социалистического Труда, полные кавалеры ордена Славы, полные кавалеры ордена Трудовой Славы;</w:t>
      </w:r>
    </w:p>
    <w:p w:rsidR="002C7BE0" w:rsidRPr="002C7BE0" w:rsidRDefault="002C7BE0">
      <w:pPr>
        <w:pStyle w:val="ConsPlusNormal"/>
        <w:jc w:val="both"/>
      </w:pPr>
      <w:r w:rsidRPr="002C7BE0">
        <w:t xml:space="preserve">(в ред. </w:t>
      </w:r>
      <w:hyperlink r:id="rId18" w:history="1">
        <w:r w:rsidRPr="002C7BE0">
          <w:t>Закона</w:t>
        </w:r>
      </w:hyperlink>
      <w:r w:rsidRPr="002C7BE0">
        <w:t xml:space="preserve"> Оренбургской области от 28.12.2017 N 748/183-VI-ОЗ)</w:t>
      </w:r>
    </w:p>
    <w:p w:rsidR="002C7BE0" w:rsidRPr="002C7BE0" w:rsidRDefault="002C7BE0">
      <w:pPr>
        <w:pStyle w:val="ConsPlusNormal"/>
        <w:spacing w:before="220"/>
        <w:ind w:firstLine="540"/>
        <w:jc w:val="both"/>
      </w:pPr>
      <w:r w:rsidRPr="002C7BE0">
        <w:t xml:space="preserve">2) участники Великой Отечественной войны и приравненные к ним лица (для лиц, на которых зарегистрированы два и более транспортных средства, льгота предоставляется не более чем по одному транспортному средству, имеющему наиболее мощные двигатель, тягу </w:t>
      </w:r>
      <w:r w:rsidRPr="002C7BE0">
        <w:lastRenderedPageBreak/>
        <w:t>реактивного двигателя или валовую вместимость);</w:t>
      </w:r>
    </w:p>
    <w:p w:rsidR="002C7BE0" w:rsidRPr="002C7BE0" w:rsidRDefault="002C7BE0">
      <w:pPr>
        <w:pStyle w:val="ConsPlusNormal"/>
        <w:jc w:val="both"/>
      </w:pPr>
      <w:r w:rsidRPr="002C7BE0">
        <w:t xml:space="preserve">(в ред. </w:t>
      </w:r>
      <w:hyperlink r:id="rId19" w:history="1">
        <w:r w:rsidRPr="002C7BE0">
          <w:t>Закона</w:t>
        </w:r>
      </w:hyperlink>
      <w:r w:rsidRPr="002C7BE0">
        <w:t xml:space="preserve"> Оренбургской области от 28.12.2017 N 748/183-VI-ОЗ)</w:t>
      </w:r>
    </w:p>
    <w:p w:rsidR="002C7BE0" w:rsidRPr="002C7BE0" w:rsidRDefault="002C7BE0">
      <w:pPr>
        <w:pStyle w:val="ConsPlusNormal"/>
        <w:spacing w:before="220"/>
        <w:ind w:firstLine="540"/>
        <w:jc w:val="both"/>
      </w:pPr>
      <w:proofErr w:type="gramStart"/>
      <w:r w:rsidRPr="002C7BE0">
        <w:t xml:space="preserve">3) категории граждан, подвергшихся воздействию радиации вследствие чернобыльской катастрофы, в соответствии с </w:t>
      </w:r>
      <w:hyperlink r:id="rId20" w:history="1">
        <w:r w:rsidRPr="002C7BE0">
          <w:t>Законом</w:t>
        </w:r>
      </w:hyperlink>
      <w:r w:rsidRPr="002C7BE0">
        <w:t xml:space="preserve"> Российской Федерации "О социальной защите граждан, подвергшихся радиации вследствие катастрофы на Чернобыльской АЭС" (для лиц, на которых зарегистрированы два и более транспортных средства, льгота предоставляется не более чем по одному транспортному средству, имеющему наиболее мощные двигатель, тягу реактивного двигателя или валовую вместимость);</w:t>
      </w:r>
      <w:proofErr w:type="gramEnd"/>
    </w:p>
    <w:p w:rsidR="002C7BE0" w:rsidRPr="002C7BE0" w:rsidRDefault="002C7BE0">
      <w:pPr>
        <w:pStyle w:val="ConsPlusNormal"/>
        <w:jc w:val="both"/>
      </w:pPr>
      <w:r w:rsidRPr="002C7BE0">
        <w:t xml:space="preserve">(в ред. </w:t>
      </w:r>
      <w:hyperlink r:id="rId21" w:history="1">
        <w:r w:rsidRPr="002C7BE0">
          <w:t>Закона</w:t>
        </w:r>
      </w:hyperlink>
      <w:r w:rsidRPr="002C7BE0">
        <w:t xml:space="preserve"> Оренбургской области от 28.12.2017 N 748/183-VI-ОЗ)</w:t>
      </w:r>
    </w:p>
    <w:p w:rsidR="002C7BE0" w:rsidRPr="002C7BE0" w:rsidRDefault="002C7BE0">
      <w:pPr>
        <w:pStyle w:val="ConsPlusNormal"/>
        <w:spacing w:before="220"/>
        <w:ind w:firstLine="540"/>
        <w:jc w:val="both"/>
      </w:pPr>
      <w:r w:rsidRPr="002C7BE0">
        <w:t>4) инвалиды всех категорий (для лиц, на которых зарегистрированы два и более транспортных средства, льгота предоставляется не более чем по одному транспортному средству, имеющему наиболее мощные двигатель, тягу реактивного двигателя или валовую вместимость);</w:t>
      </w:r>
    </w:p>
    <w:p w:rsidR="002C7BE0" w:rsidRPr="002C7BE0" w:rsidRDefault="002C7BE0">
      <w:pPr>
        <w:pStyle w:val="ConsPlusNormal"/>
        <w:jc w:val="both"/>
      </w:pPr>
      <w:r w:rsidRPr="002C7BE0">
        <w:t xml:space="preserve">(в ред. </w:t>
      </w:r>
      <w:hyperlink r:id="rId22" w:history="1">
        <w:r w:rsidRPr="002C7BE0">
          <w:t>Закона</w:t>
        </w:r>
      </w:hyperlink>
      <w:r w:rsidRPr="002C7BE0">
        <w:t xml:space="preserve"> Оренбургской области от 28.12.2017 N 748/183-VI-ОЗ)</w:t>
      </w:r>
    </w:p>
    <w:p w:rsidR="002C7BE0" w:rsidRPr="002C7BE0" w:rsidRDefault="002C7BE0">
      <w:pPr>
        <w:pStyle w:val="ConsPlusNormal"/>
        <w:spacing w:before="220"/>
        <w:ind w:firstLine="540"/>
        <w:jc w:val="both"/>
      </w:pPr>
      <w:proofErr w:type="gramStart"/>
      <w:r w:rsidRPr="002C7BE0">
        <w:t>5) один из родителей (усыновителей), попечителей, опекунов, приемных родителей многодетной семьи в отношении автомобилей легковых с мощностью двигателя до 150 лошадиных сил, мотоциклов и мотороллеров, автобусов с мощностью двигателя до 200 лошадиных сил, грузовых автомобилей с мощностью двигателя до 200 лошадиных сил и других самоходных транспортных средств, машин и механизмов на пневматическом и гусеничном ходу (для лиц, на которых зарегистрированы</w:t>
      </w:r>
      <w:proofErr w:type="gramEnd"/>
      <w:r w:rsidRPr="002C7BE0">
        <w:t xml:space="preserve"> два и более транспортных средства, льгота предоставляется не более чем по одному транспортному средству, имеющему наиболее мощный двигатель);</w:t>
      </w:r>
    </w:p>
    <w:p w:rsidR="002C7BE0" w:rsidRPr="002C7BE0" w:rsidRDefault="002C7BE0">
      <w:pPr>
        <w:pStyle w:val="ConsPlusNormal"/>
        <w:jc w:val="both"/>
      </w:pPr>
      <w:r w:rsidRPr="002C7BE0">
        <w:t xml:space="preserve">(в ред. Законов Оренбургской области от 02.05.2017 </w:t>
      </w:r>
      <w:hyperlink r:id="rId23" w:history="1">
        <w:r w:rsidRPr="002C7BE0">
          <w:t>N 350/82-VI-ОЗ</w:t>
        </w:r>
      </w:hyperlink>
      <w:r w:rsidRPr="002C7BE0">
        <w:t xml:space="preserve">, от 28.12.2017 </w:t>
      </w:r>
      <w:hyperlink r:id="rId24" w:history="1">
        <w:r w:rsidRPr="002C7BE0">
          <w:t>N 748/183-VI-ОЗ</w:t>
        </w:r>
      </w:hyperlink>
      <w:r w:rsidRPr="002C7BE0">
        <w:t>)</w:t>
      </w:r>
    </w:p>
    <w:p w:rsidR="002C7BE0" w:rsidRPr="002C7BE0" w:rsidRDefault="002C7BE0">
      <w:pPr>
        <w:pStyle w:val="ConsPlusNormal"/>
        <w:spacing w:before="220"/>
        <w:ind w:firstLine="540"/>
        <w:jc w:val="both"/>
      </w:pPr>
      <w:r w:rsidRPr="002C7BE0">
        <w:t>6) организации, занимающиеся подготовкой юношей по военно-учетным специальностям (ВУС) к службе в армии, приобщением молодежи к военно-прикладным видам спорта и выполняющие оборонный заказ;</w:t>
      </w:r>
    </w:p>
    <w:p w:rsidR="002C7BE0" w:rsidRPr="002C7BE0" w:rsidRDefault="002C7BE0">
      <w:pPr>
        <w:pStyle w:val="ConsPlusNormal"/>
        <w:spacing w:before="220"/>
        <w:ind w:firstLine="540"/>
        <w:jc w:val="both"/>
      </w:pPr>
      <w:r w:rsidRPr="002C7BE0">
        <w:t>7) общественные организации инвалидов, использующие транспортные средства для осуществления своей уставной деятельности;</w:t>
      </w:r>
    </w:p>
    <w:p w:rsidR="002C7BE0" w:rsidRPr="002C7BE0" w:rsidRDefault="002C7BE0">
      <w:pPr>
        <w:pStyle w:val="ConsPlusNormal"/>
        <w:spacing w:before="220"/>
        <w:ind w:firstLine="540"/>
        <w:jc w:val="both"/>
      </w:pPr>
      <w:r w:rsidRPr="002C7BE0">
        <w:t>8) профессиональные аварийно-спасательные службы, профессиональные аварийно-спасательные формирования;</w:t>
      </w:r>
    </w:p>
    <w:p w:rsidR="002C7BE0" w:rsidRPr="002C7BE0" w:rsidRDefault="002C7BE0">
      <w:pPr>
        <w:pStyle w:val="ConsPlusNormal"/>
        <w:spacing w:before="220"/>
        <w:ind w:firstLine="540"/>
        <w:jc w:val="both"/>
      </w:pPr>
      <w:r w:rsidRPr="002C7BE0">
        <w:t>9) органы управления и подразделения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p>
    <w:p w:rsidR="002C7BE0" w:rsidRPr="002C7BE0" w:rsidRDefault="002C7BE0">
      <w:pPr>
        <w:pStyle w:val="ConsPlusNormal"/>
        <w:spacing w:before="220"/>
        <w:ind w:firstLine="540"/>
        <w:jc w:val="both"/>
      </w:pPr>
      <w:r w:rsidRPr="002C7BE0">
        <w:t>10) органы и подразделения внутренних дел Министерства внутренних дел Российской Федерации по Оренбургской области;</w:t>
      </w:r>
    </w:p>
    <w:p w:rsidR="002C7BE0" w:rsidRPr="002C7BE0" w:rsidRDefault="002C7BE0">
      <w:pPr>
        <w:pStyle w:val="ConsPlusNormal"/>
        <w:spacing w:before="220"/>
        <w:ind w:firstLine="540"/>
        <w:jc w:val="both"/>
      </w:pPr>
      <w:r w:rsidRPr="002C7BE0">
        <w:t>11) муниципальные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2C7BE0" w:rsidRPr="002C7BE0" w:rsidRDefault="002C7BE0">
      <w:pPr>
        <w:pStyle w:val="ConsPlusNormal"/>
        <w:spacing w:before="220"/>
        <w:ind w:firstLine="540"/>
        <w:jc w:val="both"/>
      </w:pPr>
      <w:r w:rsidRPr="002C7BE0">
        <w:t>12) муниципальные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культуры;</w:t>
      </w:r>
    </w:p>
    <w:p w:rsidR="002C7BE0" w:rsidRPr="002C7BE0" w:rsidRDefault="002C7BE0">
      <w:pPr>
        <w:pStyle w:val="ConsPlusNormal"/>
        <w:spacing w:before="220"/>
        <w:ind w:firstLine="540"/>
        <w:jc w:val="both"/>
      </w:pPr>
      <w:r w:rsidRPr="002C7BE0">
        <w:t>13)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образования;</w:t>
      </w:r>
    </w:p>
    <w:p w:rsidR="002C7BE0" w:rsidRPr="002C7BE0" w:rsidRDefault="002C7BE0">
      <w:pPr>
        <w:pStyle w:val="ConsPlusNormal"/>
        <w:spacing w:before="220"/>
        <w:ind w:firstLine="540"/>
        <w:jc w:val="both"/>
      </w:pPr>
      <w:r w:rsidRPr="002C7BE0">
        <w:t xml:space="preserve">14) государственные учреждения, созданные для выполнения работ, оказания услуг в целях </w:t>
      </w:r>
      <w:r w:rsidRPr="002C7BE0">
        <w:lastRenderedPageBreak/>
        <w:t>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здравоохранения;</w:t>
      </w:r>
    </w:p>
    <w:p w:rsidR="002C7BE0" w:rsidRPr="002C7BE0" w:rsidRDefault="002C7BE0">
      <w:pPr>
        <w:pStyle w:val="ConsPlusNormal"/>
        <w:spacing w:before="220"/>
        <w:ind w:firstLine="540"/>
        <w:jc w:val="both"/>
      </w:pPr>
      <w:r w:rsidRPr="002C7BE0">
        <w:t>15)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социального обслуживания;</w:t>
      </w:r>
    </w:p>
    <w:p w:rsidR="002C7BE0" w:rsidRPr="002C7BE0" w:rsidRDefault="002C7BE0">
      <w:pPr>
        <w:pStyle w:val="ConsPlusNormal"/>
        <w:spacing w:before="220"/>
        <w:ind w:firstLine="540"/>
        <w:jc w:val="both"/>
      </w:pPr>
      <w:r w:rsidRPr="002C7BE0">
        <w:t>16) государственные учреждения, созданные для выполнения работ, оказания услуг в целях обеспечения реализации предусмотренных законодательством Российской Федерации полномочий органов исполнительной власти Оренбургской области в сфере культуры и искусства;</w:t>
      </w:r>
    </w:p>
    <w:p w:rsidR="002C7BE0" w:rsidRPr="002C7BE0" w:rsidRDefault="002C7BE0">
      <w:pPr>
        <w:pStyle w:val="ConsPlusNormal"/>
        <w:spacing w:before="220"/>
        <w:ind w:firstLine="540"/>
        <w:jc w:val="both"/>
      </w:pPr>
      <w:r w:rsidRPr="002C7BE0">
        <w:t>17) органы законодательной (представительной) и исполнительной власти Оренбургской области;</w:t>
      </w:r>
    </w:p>
    <w:p w:rsidR="002C7BE0" w:rsidRPr="002C7BE0" w:rsidRDefault="002C7BE0">
      <w:pPr>
        <w:pStyle w:val="ConsPlusNormal"/>
        <w:spacing w:before="220"/>
        <w:ind w:firstLine="540"/>
        <w:jc w:val="both"/>
      </w:pPr>
      <w:r w:rsidRPr="002C7BE0">
        <w:t>18) органы местного самоуправления муниципальных образований Оренбургской области;</w:t>
      </w:r>
    </w:p>
    <w:p w:rsidR="002C7BE0" w:rsidRPr="002C7BE0" w:rsidRDefault="002C7BE0">
      <w:pPr>
        <w:pStyle w:val="ConsPlusNormal"/>
        <w:spacing w:before="220"/>
        <w:ind w:firstLine="540"/>
        <w:jc w:val="both"/>
      </w:pPr>
      <w:r w:rsidRPr="002C7BE0">
        <w:t>19) государственные учреждения по управлению дорожным хозяйством Оренбургской области;</w:t>
      </w:r>
    </w:p>
    <w:p w:rsidR="002C7BE0" w:rsidRPr="002C7BE0" w:rsidRDefault="002C7BE0">
      <w:pPr>
        <w:pStyle w:val="ConsPlusNormal"/>
        <w:spacing w:before="220"/>
        <w:ind w:firstLine="540"/>
        <w:jc w:val="both"/>
      </w:pPr>
      <w:r w:rsidRPr="002C7BE0">
        <w:t>20) государственные учреждения, осуществляющие полномочия по сохранению, воспроизводству и регулированию объектов животного мира и водных биологических ресурсов, государственные учреждения, осуществляющие деятельность по организации воспроизводства конного поголовья и испытанию племенных лошадей в целях селекции в племенном коневодстве, государственные учреждения ветеринарии и лесничества, учредителями которых являются органы государственной власти Оренбургской области;</w:t>
      </w:r>
    </w:p>
    <w:p w:rsidR="002C7BE0" w:rsidRPr="002C7BE0" w:rsidRDefault="002C7BE0">
      <w:pPr>
        <w:pStyle w:val="ConsPlusNormal"/>
        <w:spacing w:before="220"/>
        <w:ind w:firstLine="540"/>
        <w:jc w:val="both"/>
      </w:pPr>
      <w:r w:rsidRPr="002C7BE0">
        <w:t>21) учреждения, выполняющие функции в сфере пожарной безопасности, защиты населения и территорий от чрезвычайных ситуаций, спасания людей на водных объектах, учредителями которых являются органы исполнительной власти Оренбургской области;</w:t>
      </w:r>
    </w:p>
    <w:p w:rsidR="002C7BE0" w:rsidRPr="002C7BE0" w:rsidRDefault="002C7BE0">
      <w:pPr>
        <w:pStyle w:val="ConsPlusNormal"/>
        <w:spacing w:before="220"/>
        <w:ind w:firstLine="540"/>
        <w:jc w:val="both"/>
      </w:pPr>
      <w:r w:rsidRPr="002C7BE0">
        <w:t>22) учреждения, выполняющие функции в сфере пожарной безопасности, защиты населения и территорий от чрезвычайных ситуаций, спасания людей на водных объектах, учредителями которых являются органы местного самоуправления муниципальных образований Оренбургской области;</w:t>
      </w:r>
    </w:p>
    <w:p w:rsidR="002C7BE0" w:rsidRPr="002C7BE0" w:rsidRDefault="002C7BE0">
      <w:pPr>
        <w:pStyle w:val="ConsPlusNormal"/>
        <w:spacing w:before="220"/>
        <w:ind w:firstLine="540"/>
        <w:jc w:val="both"/>
      </w:pPr>
      <w:r w:rsidRPr="002C7BE0">
        <w:t xml:space="preserve">23) общественные объединения пожарной охраны, созданные в соответствии с Федеральным </w:t>
      </w:r>
      <w:hyperlink r:id="rId25" w:history="1">
        <w:r w:rsidRPr="002C7BE0">
          <w:t>законом</w:t>
        </w:r>
      </w:hyperlink>
      <w:r w:rsidRPr="002C7BE0">
        <w:t xml:space="preserve"> от 6 мая 2011 года N 100-ФЗ "О добровольной пожарной охране".</w:t>
      </w:r>
    </w:p>
    <w:p w:rsidR="002C7BE0" w:rsidRPr="002C7BE0" w:rsidRDefault="002C7BE0">
      <w:pPr>
        <w:pStyle w:val="ConsPlusNormal"/>
        <w:spacing w:before="220"/>
        <w:ind w:firstLine="540"/>
        <w:jc w:val="both"/>
      </w:pPr>
      <w:r w:rsidRPr="002C7BE0">
        <w:t>2. Налог в размере 50 процентов уплачивают:</w:t>
      </w:r>
    </w:p>
    <w:p w:rsidR="002C7BE0" w:rsidRPr="002C7BE0" w:rsidRDefault="002C7BE0">
      <w:pPr>
        <w:pStyle w:val="ConsPlusNormal"/>
        <w:spacing w:before="220"/>
        <w:ind w:firstLine="540"/>
        <w:jc w:val="both"/>
      </w:pPr>
      <w:proofErr w:type="gramStart"/>
      <w:r w:rsidRPr="002C7BE0">
        <w:t>1) пенсионеры, получающие пенсии, назначенные в порядке, установленном законодательством Российской Федерации (для лиц, на которых зарегистрированы два и более транспортных средства, льгота предоставляется не более чем по одному транспортному средству, имеющему наиболее мощные двигатель, тягу реактивного двигателя или валовую вместимость);</w:t>
      </w:r>
      <w:proofErr w:type="gramEnd"/>
    </w:p>
    <w:p w:rsidR="002C7BE0" w:rsidRPr="002C7BE0" w:rsidRDefault="002C7BE0">
      <w:pPr>
        <w:pStyle w:val="ConsPlusNormal"/>
        <w:jc w:val="both"/>
      </w:pPr>
      <w:r w:rsidRPr="002C7BE0">
        <w:t xml:space="preserve">(в ред. </w:t>
      </w:r>
      <w:hyperlink r:id="rId26" w:history="1">
        <w:r w:rsidRPr="002C7BE0">
          <w:t>Закона</w:t>
        </w:r>
      </w:hyperlink>
      <w:r w:rsidRPr="002C7BE0">
        <w:t xml:space="preserve"> Оренбургской области от 28.12.2017 N 748/183-VI-ОЗ)</w:t>
      </w:r>
    </w:p>
    <w:p w:rsidR="002C7BE0" w:rsidRPr="002C7BE0" w:rsidRDefault="002C7BE0">
      <w:pPr>
        <w:pStyle w:val="ConsPlusNormal"/>
        <w:spacing w:before="220"/>
        <w:ind w:firstLine="540"/>
        <w:jc w:val="both"/>
      </w:pPr>
      <w:r w:rsidRPr="002C7BE0">
        <w:t>2) ветераны боевых действий (для лиц, на которых зарегистрированы два или более транспортных средства, льгота предоставляется не более чем по одному транспортному средству, имеющему наиболее мощные двигатель, тягу реактивного двигателя или валовую вместимость);</w:t>
      </w:r>
    </w:p>
    <w:p w:rsidR="002C7BE0" w:rsidRPr="002C7BE0" w:rsidRDefault="002C7BE0">
      <w:pPr>
        <w:pStyle w:val="ConsPlusNormal"/>
        <w:jc w:val="both"/>
      </w:pPr>
      <w:r w:rsidRPr="002C7BE0">
        <w:t xml:space="preserve">(в ред. </w:t>
      </w:r>
      <w:hyperlink r:id="rId27" w:history="1">
        <w:r w:rsidRPr="002C7BE0">
          <w:t>Закона</w:t>
        </w:r>
      </w:hyperlink>
      <w:r w:rsidRPr="002C7BE0">
        <w:t xml:space="preserve"> Оренбургской области от 28.12.2017 N 748/183-VI-ОЗ)</w:t>
      </w:r>
    </w:p>
    <w:p w:rsidR="002C7BE0" w:rsidRPr="002C7BE0" w:rsidRDefault="002C7BE0">
      <w:pPr>
        <w:pStyle w:val="ConsPlusNormal"/>
        <w:spacing w:before="220"/>
        <w:ind w:firstLine="540"/>
        <w:jc w:val="both"/>
      </w:pPr>
      <w:r w:rsidRPr="002C7BE0">
        <w:t xml:space="preserve">3) организации автотранспорта, осуществляющие пассажирские перевозки на муниципальных, межмуниципальных, межрегиональных и международных маршрутах, соблюдающие единые условия перевозки пассажиров, у которых наибольший удельный вес доходов составляют доходы от пассажирских перевозок, по транспортным средствам, </w:t>
      </w:r>
      <w:r w:rsidRPr="002C7BE0">
        <w:lastRenderedPageBreak/>
        <w:t>осуществляющим перевозки пассажиров (кроме легкового такси и автобусов (микроавтобусов), работающих в платном режиме маршрутных такси);</w:t>
      </w:r>
    </w:p>
    <w:p w:rsidR="002C7BE0" w:rsidRPr="002C7BE0" w:rsidRDefault="002C7BE0">
      <w:pPr>
        <w:pStyle w:val="ConsPlusNormal"/>
        <w:spacing w:before="220"/>
        <w:ind w:firstLine="540"/>
        <w:jc w:val="both"/>
      </w:pPr>
      <w:r w:rsidRPr="002C7BE0">
        <w:t>4) организации агропромышленного комплекса всех форм собственности, крестьянские (фермерские) хозяйства (за исключением граждан, ведущих личное подсобное хозяйство), занимающиеся производством сельскохозяйственной продукции, удельный вес доходов от реализации которой в общей сумме их доходов составляет 70 и более процентов.</w:t>
      </w:r>
    </w:p>
    <w:p w:rsidR="002C7BE0" w:rsidRPr="002C7BE0" w:rsidRDefault="002C7BE0">
      <w:pPr>
        <w:pStyle w:val="ConsPlusNormal"/>
        <w:spacing w:before="220"/>
        <w:ind w:firstLine="540"/>
        <w:jc w:val="both"/>
      </w:pPr>
      <w:r w:rsidRPr="002C7BE0">
        <w:t>3. При возникновении у налогоплательщика права на получение налоговых льгот по нескольким основаниям, предусмотренным настоящей статьей, льгота предоставляется по одному основанию по выбору налогоплательщика.</w:t>
      </w:r>
    </w:p>
    <w:p w:rsidR="002C7BE0" w:rsidRPr="002C7BE0" w:rsidRDefault="002C7BE0">
      <w:pPr>
        <w:pStyle w:val="ConsPlusNormal"/>
        <w:spacing w:before="220"/>
        <w:ind w:firstLine="540"/>
        <w:jc w:val="both"/>
      </w:pPr>
      <w:r w:rsidRPr="002C7BE0">
        <w:t xml:space="preserve">Абзац утратил силу с 1 января 2018 года. - </w:t>
      </w:r>
      <w:hyperlink r:id="rId28" w:history="1">
        <w:r w:rsidRPr="002C7BE0">
          <w:t>Закон</w:t>
        </w:r>
      </w:hyperlink>
      <w:r w:rsidRPr="002C7BE0">
        <w:t xml:space="preserve"> Оренбургской области от 28.12.2017 N 748/183-VI-ОЗ.</w:t>
      </w:r>
    </w:p>
    <w:p w:rsidR="002C7BE0" w:rsidRPr="002C7BE0" w:rsidRDefault="002C7BE0">
      <w:pPr>
        <w:pStyle w:val="ConsPlusNormal"/>
        <w:spacing w:before="220"/>
        <w:ind w:firstLine="540"/>
        <w:jc w:val="both"/>
      </w:pPr>
      <w:r w:rsidRPr="002C7BE0">
        <w:t>Налогоплательщики - физические лица, имеющие право на налоговые льготы, установленные настоящей статьей,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w:t>
      </w:r>
    </w:p>
    <w:p w:rsidR="002C7BE0" w:rsidRPr="002C7BE0" w:rsidRDefault="002C7BE0">
      <w:pPr>
        <w:pStyle w:val="ConsPlusNormal"/>
        <w:jc w:val="both"/>
      </w:pPr>
      <w:r w:rsidRPr="002C7BE0">
        <w:t xml:space="preserve">(в ред. </w:t>
      </w:r>
      <w:hyperlink r:id="rId29" w:history="1">
        <w:r w:rsidRPr="002C7BE0">
          <w:t>Закона</w:t>
        </w:r>
      </w:hyperlink>
      <w:r w:rsidRPr="002C7BE0">
        <w:t xml:space="preserve"> Оренбургской области от 28.12.2017 N 748/183-VI-ОЗ)</w:t>
      </w:r>
    </w:p>
    <w:p w:rsidR="002C7BE0" w:rsidRPr="002C7BE0" w:rsidRDefault="002C7BE0">
      <w:pPr>
        <w:pStyle w:val="ConsPlusNormal"/>
        <w:jc w:val="both"/>
      </w:pPr>
    </w:p>
    <w:p w:rsidR="002C7BE0" w:rsidRPr="002C7BE0" w:rsidRDefault="002C7BE0">
      <w:pPr>
        <w:pStyle w:val="ConsPlusNormal"/>
        <w:ind w:firstLine="540"/>
        <w:jc w:val="both"/>
        <w:outlineLvl w:val="1"/>
      </w:pPr>
      <w:r w:rsidRPr="002C7BE0">
        <w:t>Статья 10. Вступление в силу настоящего Закона</w:t>
      </w:r>
    </w:p>
    <w:p w:rsidR="002C7BE0" w:rsidRPr="002C7BE0" w:rsidRDefault="002C7BE0">
      <w:pPr>
        <w:pStyle w:val="ConsPlusNormal"/>
        <w:jc w:val="both"/>
      </w:pPr>
    </w:p>
    <w:p w:rsidR="002C7BE0" w:rsidRPr="002C7BE0" w:rsidRDefault="002C7BE0">
      <w:pPr>
        <w:pStyle w:val="ConsPlusNormal"/>
        <w:ind w:firstLine="540"/>
        <w:jc w:val="both"/>
      </w:pPr>
      <w:r w:rsidRPr="002C7BE0">
        <w:t>Настоящий Закон вступает в силу по истечении одного месяца со дня его официального опубликования, но не ранее 1 января 2003 года.</w:t>
      </w:r>
    </w:p>
    <w:p w:rsidR="002C7BE0" w:rsidRPr="002C7BE0" w:rsidRDefault="002C7BE0">
      <w:pPr>
        <w:pStyle w:val="ConsPlusNormal"/>
        <w:jc w:val="both"/>
      </w:pPr>
    </w:p>
    <w:p w:rsidR="002C7BE0" w:rsidRPr="002C7BE0" w:rsidRDefault="002C7BE0">
      <w:pPr>
        <w:pStyle w:val="ConsPlusNormal"/>
        <w:jc w:val="right"/>
      </w:pPr>
      <w:r w:rsidRPr="002C7BE0">
        <w:t>Глава администрации</w:t>
      </w:r>
    </w:p>
    <w:p w:rsidR="002C7BE0" w:rsidRPr="002C7BE0" w:rsidRDefault="002C7BE0">
      <w:pPr>
        <w:pStyle w:val="ConsPlusNormal"/>
        <w:jc w:val="right"/>
      </w:pPr>
      <w:r w:rsidRPr="002C7BE0">
        <w:t>Оренбургской области</w:t>
      </w:r>
    </w:p>
    <w:p w:rsidR="002C7BE0" w:rsidRPr="002C7BE0" w:rsidRDefault="002C7BE0">
      <w:pPr>
        <w:pStyle w:val="ConsPlusNormal"/>
        <w:jc w:val="right"/>
      </w:pPr>
      <w:r w:rsidRPr="002C7BE0">
        <w:t>А.А.ЧЕРНЫШЕВ</w:t>
      </w:r>
    </w:p>
    <w:p w:rsidR="002C7BE0" w:rsidRPr="002C7BE0" w:rsidRDefault="002C7BE0">
      <w:pPr>
        <w:pStyle w:val="ConsPlusNormal"/>
      </w:pPr>
      <w:r w:rsidRPr="002C7BE0">
        <w:t>г. Оренбург, Дом Советов</w:t>
      </w:r>
    </w:p>
    <w:p w:rsidR="002C7BE0" w:rsidRPr="002C7BE0" w:rsidRDefault="002C7BE0">
      <w:pPr>
        <w:pStyle w:val="ConsPlusNormal"/>
        <w:spacing w:before="220"/>
      </w:pPr>
      <w:r w:rsidRPr="002C7BE0">
        <w:t>16 ноября 2002 года</w:t>
      </w:r>
    </w:p>
    <w:p w:rsidR="002C7BE0" w:rsidRPr="002C7BE0" w:rsidRDefault="002C7BE0">
      <w:pPr>
        <w:pStyle w:val="ConsPlusNormal"/>
        <w:spacing w:before="220"/>
      </w:pPr>
      <w:r w:rsidRPr="002C7BE0">
        <w:t>N 322/66-III-ОЗ</w:t>
      </w:r>
    </w:p>
    <w:p w:rsidR="002C7BE0" w:rsidRPr="002C7BE0" w:rsidRDefault="002C7BE0">
      <w:pPr>
        <w:pStyle w:val="ConsPlusNormal"/>
        <w:jc w:val="both"/>
      </w:pPr>
    </w:p>
    <w:p w:rsidR="002C7BE0" w:rsidRPr="002C7BE0" w:rsidRDefault="002C7BE0">
      <w:pPr>
        <w:pStyle w:val="ConsPlusNormal"/>
        <w:jc w:val="both"/>
      </w:pPr>
    </w:p>
    <w:p w:rsidR="002C7BE0" w:rsidRPr="002C7BE0" w:rsidRDefault="002C7BE0">
      <w:pPr>
        <w:pStyle w:val="ConsPlusNormal"/>
        <w:jc w:val="both"/>
      </w:pPr>
    </w:p>
    <w:p w:rsidR="002C7BE0" w:rsidRPr="002C7BE0" w:rsidRDefault="002C7BE0">
      <w:pPr>
        <w:pStyle w:val="ConsPlusNormal"/>
        <w:jc w:val="both"/>
      </w:pPr>
    </w:p>
    <w:p w:rsidR="002C7BE0" w:rsidRPr="002C7BE0" w:rsidRDefault="002C7BE0">
      <w:pPr>
        <w:pStyle w:val="ConsPlusNormal"/>
        <w:jc w:val="both"/>
      </w:pPr>
    </w:p>
    <w:p w:rsidR="002C7BE0" w:rsidRPr="002C7BE0" w:rsidRDefault="002C7BE0">
      <w:pPr>
        <w:pStyle w:val="ConsPlusNormal"/>
        <w:jc w:val="right"/>
        <w:outlineLvl w:val="0"/>
      </w:pPr>
      <w:r w:rsidRPr="002C7BE0">
        <w:t>Приложение</w:t>
      </w:r>
    </w:p>
    <w:p w:rsidR="002C7BE0" w:rsidRPr="002C7BE0" w:rsidRDefault="002C7BE0">
      <w:pPr>
        <w:pStyle w:val="ConsPlusNormal"/>
        <w:jc w:val="right"/>
      </w:pPr>
      <w:r w:rsidRPr="002C7BE0">
        <w:t>к Закону</w:t>
      </w:r>
    </w:p>
    <w:p w:rsidR="002C7BE0" w:rsidRPr="002C7BE0" w:rsidRDefault="002C7BE0">
      <w:pPr>
        <w:pStyle w:val="ConsPlusNormal"/>
        <w:jc w:val="right"/>
      </w:pPr>
      <w:r w:rsidRPr="002C7BE0">
        <w:t>Оренбургской области</w:t>
      </w:r>
    </w:p>
    <w:p w:rsidR="002C7BE0" w:rsidRPr="002C7BE0" w:rsidRDefault="002C7BE0">
      <w:pPr>
        <w:pStyle w:val="ConsPlusNormal"/>
        <w:jc w:val="right"/>
      </w:pPr>
      <w:r w:rsidRPr="002C7BE0">
        <w:t>от 16 ноября 2002 г. N 322/66-III-ОЗ</w:t>
      </w:r>
    </w:p>
    <w:p w:rsidR="002C7BE0" w:rsidRPr="002C7BE0" w:rsidRDefault="002C7BE0">
      <w:pPr>
        <w:pStyle w:val="ConsPlusNormal"/>
        <w:jc w:val="both"/>
      </w:pPr>
    </w:p>
    <w:p w:rsidR="002C7BE0" w:rsidRPr="002C7BE0" w:rsidRDefault="002C7BE0">
      <w:pPr>
        <w:pStyle w:val="ConsPlusNormal"/>
        <w:jc w:val="center"/>
      </w:pPr>
      <w:r w:rsidRPr="002C7BE0">
        <w:t>НАЛОГОВАЯ ДЕКЛАРАЦИЯ</w:t>
      </w:r>
    </w:p>
    <w:p w:rsidR="002C7BE0" w:rsidRPr="002C7BE0" w:rsidRDefault="002C7BE0">
      <w:pPr>
        <w:pStyle w:val="ConsPlusNormal"/>
        <w:jc w:val="center"/>
      </w:pPr>
      <w:r w:rsidRPr="002C7BE0">
        <w:t>ПО ТРАНСПОРТНОМУ НАЛОГУ</w:t>
      </w:r>
    </w:p>
    <w:p w:rsidR="002C7BE0" w:rsidRPr="002C7BE0" w:rsidRDefault="002C7BE0">
      <w:pPr>
        <w:pStyle w:val="ConsPlusNormal"/>
        <w:jc w:val="center"/>
      </w:pPr>
      <w:r w:rsidRPr="002C7BE0">
        <w:t xml:space="preserve">за ______ </w:t>
      </w:r>
      <w:proofErr w:type="gramStart"/>
      <w:r w:rsidRPr="002C7BE0">
        <w:t>г</w:t>
      </w:r>
      <w:proofErr w:type="gramEnd"/>
      <w:r w:rsidRPr="002C7BE0">
        <w:t>.</w:t>
      </w:r>
    </w:p>
    <w:p w:rsidR="002C7BE0" w:rsidRPr="002C7BE0" w:rsidRDefault="002C7BE0">
      <w:pPr>
        <w:pStyle w:val="ConsPlusNormal"/>
        <w:jc w:val="both"/>
      </w:pPr>
    </w:p>
    <w:p w:rsidR="002C7BE0" w:rsidRPr="002C7BE0" w:rsidRDefault="002C7BE0">
      <w:pPr>
        <w:pStyle w:val="ConsPlusNormal"/>
        <w:ind w:firstLine="540"/>
        <w:jc w:val="both"/>
      </w:pPr>
      <w:r w:rsidRPr="002C7BE0">
        <w:t xml:space="preserve">Утратила силу. - </w:t>
      </w:r>
      <w:hyperlink r:id="rId30" w:history="1">
        <w:r w:rsidRPr="002C7BE0">
          <w:t>Закон</w:t>
        </w:r>
      </w:hyperlink>
      <w:r w:rsidRPr="002C7BE0">
        <w:t xml:space="preserve"> Оренбургской области от 01.10.2003 N 466/45-III-ОЗ.</w:t>
      </w:r>
    </w:p>
    <w:p w:rsidR="002C7BE0" w:rsidRPr="002C7BE0" w:rsidRDefault="002C7BE0">
      <w:pPr>
        <w:pStyle w:val="ConsPlusNormal"/>
        <w:jc w:val="both"/>
      </w:pPr>
    </w:p>
    <w:p w:rsidR="002C7BE0" w:rsidRPr="002C7BE0" w:rsidRDefault="002C7BE0">
      <w:pPr>
        <w:pStyle w:val="ConsPlusNormal"/>
        <w:jc w:val="both"/>
      </w:pPr>
    </w:p>
    <w:p w:rsidR="002C7BE0" w:rsidRPr="002C7BE0" w:rsidRDefault="002C7BE0">
      <w:pPr>
        <w:pStyle w:val="ConsPlusNormal"/>
        <w:pBdr>
          <w:top w:val="single" w:sz="6" w:space="0" w:color="auto"/>
        </w:pBdr>
        <w:spacing w:before="100" w:after="100"/>
        <w:jc w:val="both"/>
        <w:rPr>
          <w:sz w:val="2"/>
          <w:szCs w:val="2"/>
        </w:rPr>
      </w:pPr>
    </w:p>
    <w:p w:rsidR="00492873" w:rsidRPr="002C7BE0" w:rsidRDefault="00492873"/>
    <w:sectPr w:rsidR="00492873" w:rsidRPr="002C7BE0" w:rsidSect="002149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7BE0"/>
    <w:rsid w:val="002C7BE0"/>
    <w:rsid w:val="004928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8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7B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7B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7BE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6A329CCEEE4A6FDD7F5AE42564C943E79CAE1ED1B766F6D1E59B9CD2A618C6D7D344D608DDE52E1D8A43V0D9F" TargetMode="External"/><Relationship Id="rId13" Type="http://schemas.openxmlformats.org/officeDocument/2006/relationships/hyperlink" Target="consultantplus://offline/ref=426A329CCEEE4A6FDD7F5AE42564C943E79CAE1ED7B16DF3D4E59B9CD2A618C6D7D344D608DDE52E1D8A41V0D0F" TargetMode="External"/><Relationship Id="rId18" Type="http://schemas.openxmlformats.org/officeDocument/2006/relationships/hyperlink" Target="consultantplus://offline/ref=426A329CCEEE4A6FDD7F5AE42564C943E79CAE1EDAB76CF2DBE59B9CD2A618C6D7D344D608DDE52E1D8A40V0D8F" TargetMode="External"/><Relationship Id="rId26" Type="http://schemas.openxmlformats.org/officeDocument/2006/relationships/hyperlink" Target="consultantplus://offline/ref=426A329CCEEE4A6FDD7F5AE42564C943E79CAE1EDAB76CF2DBE59B9CD2A618C6D7D344D608DDE52E1D8A40V0DEF" TargetMode="External"/><Relationship Id="rId3" Type="http://schemas.openxmlformats.org/officeDocument/2006/relationships/webSettings" Target="webSettings.xml"/><Relationship Id="rId21" Type="http://schemas.openxmlformats.org/officeDocument/2006/relationships/hyperlink" Target="consultantplus://offline/ref=426A329CCEEE4A6FDD7F5AE42564C943E79CAE1EDAB76CF2DBE59B9CD2A618C6D7D344D608DDE52E1D8A40V0DAF" TargetMode="External"/><Relationship Id="rId7" Type="http://schemas.openxmlformats.org/officeDocument/2006/relationships/hyperlink" Target="consultantplus://offline/ref=426A329CCEEE4A6FDD7F5AE42564C943E79CAE1ED0B467F7D2E59B9CD2A618C6D7D344D608DDE52E1D8A40V0D9F" TargetMode="External"/><Relationship Id="rId12" Type="http://schemas.openxmlformats.org/officeDocument/2006/relationships/hyperlink" Target="consultantplus://offline/ref=426A329CCEEE4A6FDD7F5AE42564C943E79CAE1ED1B766F6D1E59B9CD2A618C6D7D344D608DDE52E1D8A41V0D0F" TargetMode="External"/><Relationship Id="rId17" Type="http://schemas.openxmlformats.org/officeDocument/2006/relationships/hyperlink" Target="consultantplus://offline/ref=426A329CCEEE4A6FDD7F5AE42564C943E79CAE1ED4B16EF2D2E59B9CD2A618C6D7D344D608DDE52E1D8A41V0D0F" TargetMode="External"/><Relationship Id="rId25" Type="http://schemas.openxmlformats.org/officeDocument/2006/relationships/hyperlink" Target="consultantplus://offline/ref=426A329CCEEE4A6FDD7F44E933089447E596F312DBB065A28FBAC0C185VADFF" TargetMode="External"/><Relationship Id="rId2" Type="http://schemas.openxmlformats.org/officeDocument/2006/relationships/settings" Target="settings.xml"/><Relationship Id="rId16" Type="http://schemas.openxmlformats.org/officeDocument/2006/relationships/hyperlink" Target="consultantplus://offline/ref=426A329CCEEE4A6FDD7F5AE42564C943E79CAE1ED5B76CFDD5E59B9CD2A618C6D7D344D608DDE52E1D8A41V0D0F" TargetMode="External"/><Relationship Id="rId20" Type="http://schemas.openxmlformats.org/officeDocument/2006/relationships/hyperlink" Target="consultantplus://offline/ref=426A329CCEEE4A6FDD7F44E933089447E59EF215DAB565A28FBAC0C185VADFF" TargetMode="External"/><Relationship Id="rId29" Type="http://schemas.openxmlformats.org/officeDocument/2006/relationships/hyperlink" Target="consultantplus://offline/ref=426A329CCEEE4A6FDD7F5AE42564C943E79CAE1EDAB76CF2DBE59B9CD2A618C6D7D344D608DDE52E1D8A43V0D8F" TargetMode="External"/><Relationship Id="rId1" Type="http://schemas.openxmlformats.org/officeDocument/2006/relationships/styles" Target="styles.xml"/><Relationship Id="rId6" Type="http://schemas.openxmlformats.org/officeDocument/2006/relationships/hyperlink" Target="consultantplus://offline/ref=426A329CCEEE4A6FDD7F5AE42564C943E79CAE1ED0B467F7D2E59B9CD2A618C6D7D344D608DDE52E1D8A41V0D0F" TargetMode="External"/><Relationship Id="rId11" Type="http://schemas.openxmlformats.org/officeDocument/2006/relationships/hyperlink" Target="consultantplus://offline/ref=426A329CCEEE4A6FDD7F5AE42564C943E79CAE1ED0B467F7D2E59B9CD2A618C6D7D344D608DDE52E1D8A41V0D0F" TargetMode="External"/><Relationship Id="rId24" Type="http://schemas.openxmlformats.org/officeDocument/2006/relationships/hyperlink" Target="consultantplus://offline/ref=426A329CCEEE4A6FDD7F5AE42564C943E79CAE1EDAB76CF2DBE59B9CD2A618C6D7D344D608DDE52E1D8A40V0DCF" TargetMode="External"/><Relationship Id="rId32" Type="http://schemas.openxmlformats.org/officeDocument/2006/relationships/theme" Target="theme/theme1.xml"/><Relationship Id="rId5" Type="http://schemas.openxmlformats.org/officeDocument/2006/relationships/hyperlink" Target="consultantplus://offline/ref=426A329CCEEE4A6FDD7F44E933089447E59EF214D3B465A28FBAC0C185AF1291909C1D944CD3ED2FV1DEF" TargetMode="External"/><Relationship Id="rId15" Type="http://schemas.openxmlformats.org/officeDocument/2006/relationships/hyperlink" Target="consultantplus://offline/ref=426A329CCEEE4A6FDD7F5AE42564C943E79CAE1ED5B76CFDD5E59B9CD2A618C6D7D344D608DDE52E1D8A40V0DBF" TargetMode="External"/><Relationship Id="rId23" Type="http://schemas.openxmlformats.org/officeDocument/2006/relationships/hyperlink" Target="consultantplus://offline/ref=426A329CCEEE4A6FDD7F5AE42564C943E79CAE1ED5B06AF5D1E59B9CD2A618C6D7D344D608DDE52E1D8A41V0D0F" TargetMode="External"/><Relationship Id="rId28" Type="http://schemas.openxmlformats.org/officeDocument/2006/relationships/hyperlink" Target="consultantplus://offline/ref=426A329CCEEE4A6FDD7F5AE42564C943E79CAE1EDAB76CF2DBE59B9CD2A618C6D7D344D608DDE52E1D8A43V0D9F" TargetMode="External"/><Relationship Id="rId10" Type="http://schemas.openxmlformats.org/officeDocument/2006/relationships/hyperlink" Target="consultantplus://offline/ref=426A329CCEEE4A6FDD7F5AE42564C943E79CAE1ED1B06DFDDBE59B9CD2A618C6D7D344D608DDE52E1D8A40V0D8F" TargetMode="External"/><Relationship Id="rId19" Type="http://schemas.openxmlformats.org/officeDocument/2006/relationships/hyperlink" Target="consultantplus://offline/ref=426A329CCEEE4A6FDD7F5AE42564C943E79CAE1EDAB76CF2DBE59B9CD2A618C6D7D344D608DDE52E1D8A40V0DBF" TargetMode="External"/><Relationship Id="rId31" Type="http://schemas.openxmlformats.org/officeDocument/2006/relationships/fontTable" Target="fontTable.xml"/><Relationship Id="rId4" Type="http://schemas.openxmlformats.org/officeDocument/2006/relationships/hyperlink" Target="consultantplus://offline/ref=426A329CCEEE4A6FDD7F5AE42564C943E79CAE1EDAB26BF6D8B891948BAA1AVCD1F" TargetMode="External"/><Relationship Id="rId9" Type="http://schemas.openxmlformats.org/officeDocument/2006/relationships/hyperlink" Target="consultantplus://offline/ref=426A329CCEEE4A6FDD7F5AE42564C943E79CAE1ED1B06DFDDBE59B9CD2A618C6D7D344D608DDE52E1D8A40V0D9F" TargetMode="External"/><Relationship Id="rId14" Type="http://schemas.openxmlformats.org/officeDocument/2006/relationships/hyperlink" Target="consultantplus://offline/ref=426A329CCEEE4A6FDD7F5AE42564C943E79CAE1ED5B76CFDD5E59B9CD2A618C6D7D344D608DDE52E1D8A41V0D0F" TargetMode="External"/><Relationship Id="rId22" Type="http://schemas.openxmlformats.org/officeDocument/2006/relationships/hyperlink" Target="consultantplus://offline/ref=426A329CCEEE4A6FDD7F5AE42564C943E79CAE1EDAB76CF2DBE59B9CD2A618C6D7D344D608DDE52E1D8A40V0DDF" TargetMode="External"/><Relationship Id="rId27" Type="http://schemas.openxmlformats.org/officeDocument/2006/relationships/hyperlink" Target="consultantplus://offline/ref=426A329CCEEE4A6FDD7F5AE42564C943E79CAE1EDAB76CF2DBE59B9CD2A618C6D7D344D608DDE52E1D8A40V0D1F" TargetMode="External"/><Relationship Id="rId30" Type="http://schemas.openxmlformats.org/officeDocument/2006/relationships/hyperlink" Target="consultantplus://offline/ref=426A329CCEEE4A6FDD7F5AE42564C943E79CAE1EDBB068F2D8B891948BAA1AC1D88C53D141D1E42E1D8BV4D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2556</Words>
  <Characters>14570</Characters>
  <Application>Microsoft Office Word</Application>
  <DocSecurity>0</DocSecurity>
  <Lines>121</Lines>
  <Paragraphs>34</Paragraphs>
  <ScaleCrop>false</ScaleCrop>
  <Company/>
  <LinksUpToDate>false</LinksUpToDate>
  <CharactersWithSpaces>17092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Астаева Татьяна Анатольевна</dc:creator>
  <cp:lastModifiedBy>Астаева Татьяна Анатольевна</cp:lastModifiedBy>
  <cp:revision>1</cp:revision>
  <dcterms:created xsi:type="dcterms:W3CDTF">2018-04-09T05:03:00Z</dcterms:created>
  <dcterms:modified xsi:type="dcterms:W3CDTF">2018-04-09T05:06:00Z</dcterms:modified>
</cp:coreProperties>
</file>