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15" w:rsidRPr="00150AB9" w:rsidRDefault="00E00215" w:rsidP="00F535D1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ОРЛОВСКИЙ РАЙОННЫЙ СОВЕТ НАРОДНЫХ ДЕПУТАТОВ</w:t>
      </w:r>
    </w:p>
    <w:p w:rsidR="00E00215" w:rsidRPr="00150AB9" w:rsidRDefault="00E00215" w:rsidP="00F535D1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00215" w:rsidRPr="00150AB9" w:rsidRDefault="00E00215" w:rsidP="00F535D1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РЕШЕНИЕ</w:t>
      </w:r>
    </w:p>
    <w:p w:rsidR="00E00215" w:rsidRPr="00150AB9" w:rsidRDefault="00E00215" w:rsidP="00F535D1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от 26 декабря 2016 г. N 12-МПА</w:t>
      </w:r>
    </w:p>
    <w:p w:rsidR="00E00215" w:rsidRPr="00150AB9" w:rsidRDefault="00E00215" w:rsidP="00F535D1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00215" w:rsidRPr="00150AB9" w:rsidRDefault="00E00215" w:rsidP="00F535D1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О СИСТЕМЕ НАЛОГООБЛОЖЕНИЯ В ВИДЕ ЕДИНОГО НАЛОГА</w:t>
      </w:r>
    </w:p>
    <w:p w:rsidR="00E00215" w:rsidRPr="00150AB9" w:rsidRDefault="00E00215" w:rsidP="00F535D1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НА ВМЕНЕННЫЙ ДОХОД ДЛЯ ОТДЕЛЬНЫХ ВИДОВ ДЕЯТЕЛЬНОСТИ</w:t>
      </w:r>
    </w:p>
    <w:p w:rsidR="00E00215" w:rsidRPr="00150AB9" w:rsidRDefault="00E00215" w:rsidP="00F535D1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НА ТЕРРИТОРИИ ОРЛОВСКОГО РАЙОНА</w:t>
      </w:r>
    </w:p>
    <w:p w:rsidR="00E00215" w:rsidRPr="00150AB9" w:rsidRDefault="00E00215" w:rsidP="00F535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00215" w:rsidRPr="00150AB9" w:rsidRDefault="00E00215" w:rsidP="00F535D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1. Система налогообложения в виде единого налога на вмененный доход для отдельных видов деятельности вводится на территории Орловского района для организаций и индивидуальных предпринимателей, осуществляющих следующие виды предпринимательской деятельности: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0AB9">
        <w:rPr>
          <w:rFonts w:ascii="Times New Roman" w:hAnsi="Times New Roman" w:cs="Times New Roman"/>
          <w:sz w:val="24"/>
          <w:szCs w:val="24"/>
        </w:rPr>
        <w:t xml:space="preserve">1) оказание бытовых услуг (коды видов деятельности в соответствии с Общероссийским </w:t>
      </w:r>
      <w:hyperlink r:id="rId5" w:history="1">
        <w:r w:rsidRPr="00150AB9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деятельности, относящихся к бытовым, определены в соответствии с </w:t>
      </w:r>
      <w:hyperlink r:id="rId6" w:history="1">
        <w:r w:rsidRPr="00150AB9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24 ноября 2016 года N 2496-р "Об утверждении кодов видов деятельности в соответствии с Общероссийским классификатором видов экономической деятельности, относящихся к бытовым услугам, и кодов услуг в соответствии с Общероссийским классификатором продукции по</w:t>
      </w:r>
      <w:proofErr w:type="gramEnd"/>
      <w:r w:rsidRPr="00150AB9">
        <w:rPr>
          <w:rFonts w:ascii="Times New Roman" w:hAnsi="Times New Roman" w:cs="Times New Roman"/>
          <w:sz w:val="24"/>
          <w:szCs w:val="24"/>
        </w:rPr>
        <w:t xml:space="preserve"> видам экономической деятельности, </w:t>
      </w:r>
      <w:proofErr w:type="gramStart"/>
      <w:r w:rsidRPr="00150AB9">
        <w:rPr>
          <w:rFonts w:ascii="Times New Roman" w:hAnsi="Times New Roman" w:cs="Times New Roman"/>
          <w:sz w:val="24"/>
          <w:szCs w:val="24"/>
        </w:rPr>
        <w:t>относящихся</w:t>
      </w:r>
      <w:proofErr w:type="gramEnd"/>
      <w:r w:rsidRPr="00150AB9">
        <w:rPr>
          <w:rFonts w:ascii="Times New Roman" w:hAnsi="Times New Roman" w:cs="Times New Roman"/>
          <w:sz w:val="24"/>
          <w:szCs w:val="24"/>
        </w:rPr>
        <w:t xml:space="preserve"> к бытовым услугам");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2) оказание ветеринарных услуг;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3) оказание услуг по ремонту, техническому обслуживанию и мойке автомототранспортных средств;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9"/>
      <w:bookmarkEnd w:id="0"/>
      <w:r w:rsidRPr="00150AB9">
        <w:rPr>
          <w:rFonts w:ascii="Times New Roman" w:hAnsi="Times New Roman" w:cs="Times New Roman"/>
          <w:sz w:val="24"/>
          <w:szCs w:val="24"/>
        </w:rPr>
        <w:t>6) розничную торговлю, осуществляемую через магазины и павильоны с площадью торгового зала не более 150 квадратных метров по каждому объекту организации торговли;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0"/>
      <w:bookmarkEnd w:id="1"/>
      <w:r w:rsidRPr="00150AB9">
        <w:rPr>
          <w:rFonts w:ascii="Times New Roman" w:hAnsi="Times New Roman" w:cs="Times New Roman"/>
          <w:sz w:val="24"/>
          <w:szCs w:val="24"/>
        </w:rPr>
        <w:t>7) розничную торговлю, осуществляемую через объекты стационарной торговой сети, не имеющей торговых залов, а также объекты нестационарной торговой сети;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1"/>
      <w:bookmarkEnd w:id="2"/>
      <w:r w:rsidRPr="00150AB9">
        <w:rPr>
          <w:rFonts w:ascii="Times New Roman" w:hAnsi="Times New Roman" w:cs="Times New Roman"/>
          <w:sz w:val="24"/>
          <w:szCs w:val="24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10) распространение наружной рекламы с использованием рекламных конструкций;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11) размещение рекламы с использованием внешних и внутренних поверхностей транспортных средств;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6"/>
      <w:bookmarkEnd w:id="3"/>
      <w:r w:rsidRPr="00150AB9">
        <w:rPr>
          <w:rFonts w:ascii="Times New Roman" w:hAnsi="Times New Roman" w:cs="Times New Roman"/>
          <w:sz w:val="24"/>
          <w:szCs w:val="24"/>
        </w:rPr>
        <w:t xml:space="preserve"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</w:t>
      </w:r>
      <w:r w:rsidRPr="00150AB9">
        <w:rPr>
          <w:rFonts w:ascii="Times New Roman" w:hAnsi="Times New Roman" w:cs="Times New Roman"/>
          <w:sz w:val="24"/>
          <w:szCs w:val="24"/>
        </w:rPr>
        <w:lastRenderedPageBreak/>
        <w:t>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7"/>
      <w:bookmarkEnd w:id="4"/>
      <w:r w:rsidRPr="00150AB9">
        <w:rPr>
          <w:rFonts w:ascii="Times New Roman" w:hAnsi="Times New Roman" w:cs="Times New Roman"/>
          <w:sz w:val="24"/>
          <w:szCs w:val="24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2. На уплату единого налога не вправе переходить: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1) организации и индивидуальные предприниматели, средняя численность работников которых за предшествующий календарный год, определяемая в порядке, устанавливаемом федеральным органом исполнительной власти, уполномоченным в области статистики, превышает 100 человек;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0"/>
      <w:bookmarkEnd w:id="5"/>
      <w:r w:rsidRPr="00150AB9">
        <w:rPr>
          <w:rFonts w:ascii="Times New Roman" w:hAnsi="Times New Roman" w:cs="Times New Roman"/>
          <w:sz w:val="24"/>
          <w:szCs w:val="24"/>
        </w:rPr>
        <w:t xml:space="preserve">2) организации, в которых доля участия других организаций составляет более 25 процентов. </w:t>
      </w:r>
      <w:proofErr w:type="gramStart"/>
      <w:r w:rsidRPr="00150AB9">
        <w:rPr>
          <w:rFonts w:ascii="Times New Roman" w:hAnsi="Times New Roman" w:cs="Times New Roman"/>
          <w:sz w:val="24"/>
          <w:szCs w:val="24"/>
        </w:rPr>
        <w:t xml:space="preserve">Указанное ограничение не распространяется на организации, уставный капитал которых полностью состоит из вкладов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на организации потребительской кооперации, осуществляющие свою деятельность в соответствии с </w:t>
      </w:r>
      <w:hyperlink r:id="rId7" w:history="1">
        <w:r w:rsidRPr="00150AB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 Российской Федерации от 19 июня 1992 года N 3085-1 "О</w:t>
      </w:r>
      <w:proofErr w:type="gramEnd"/>
      <w:r w:rsidRPr="00150AB9">
        <w:rPr>
          <w:rFonts w:ascii="Times New Roman" w:hAnsi="Times New Roman" w:cs="Times New Roman"/>
          <w:sz w:val="24"/>
          <w:szCs w:val="24"/>
        </w:rPr>
        <w:t xml:space="preserve"> потребительской кооперации (потребительских обществах, их союзах) в Российской Федерации", а также на хозяйственные общества, единственными учредителями которых являются потребительские общества, и их союзы, осуществляющие свою деятельность в соответствии с указанным законом;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 xml:space="preserve">3) учреждения образования, здравоохранения и социального обеспечения в части предпринимательской деятельности по оказанию услуг общественного питания, предусмотренной </w:t>
      </w:r>
      <w:hyperlink w:anchor="P21" w:history="1">
        <w:r w:rsidRPr="00150AB9">
          <w:rPr>
            <w:rFonts w:ascii="Times New Roman" w:hAnsi="Times New Roman" w:cs="Times New Roman"/>
            <w:sz w:val="24"/>
            <w:szCs w:val="24"/>
          </w:rPr>
          <w:t>подпунктом 8 пункта 1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 настоящего решения, если оказание услуг общественного питания является неотъемлемой частью процесса функционирования указанных учреждений, и эти услуги оказываются непосредственно этими учреждениями;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 xml:space="preserve">4) организации и индивидуальные предприниматели, осуществляющие виды предпринимательской деятельности, указанные в </w:t>
      </w:r>
      <w:hyperlink w:anchor="P26" w:history="1">
        <w:r w:rsidRPr="00150AB9">
          <w:rPr>
            <w:rFonts w:ascii="Times New Roman" w:hAnsi="Times New Roman" w:cs="Times New Roman"/>
            <w:sz w:val="24"/>
            <w:szCs w:val="24"/>
          </w:rPr>
          <w:t>подпунктах 13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7" w:history="1">
        <w:r w:rsidRPr="00150AB9">
          <w:rPr>
            <w:rFonts w:ascii="Times New Roman" w:hAnsi="Times New Roman" w:cs="Times New Roman"/>
            <w:sz w:val="24"/>
            <w:szCs w:val="24"/>
          </w:rPr>
          <w:t>14 пункта 1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 настоящего решения, в части оказания услуг по передаче во временное владение и (или) пользование автозаправочных станций, </w:t>
      </w:r>
      <w:proofErr w:type="spellStart"/>
      <w:r w:rsidRPr="00150AB9">
        <w:rPr>
          <w:rFonts w:ascii="Times New Roman" w:hAnsi="Times New Roman" w:cs="Times New Roman"/>
          <w:sz w:val="24"/>
          <w:szCs w:val="24"/>
        </w:rPr>
        <w:t>автогазозаправочных</w:t>
      </w:r>
      <w:proofErr w:type="spellEnd"/>
      <w:r w:rsidRPr="00150AB9">
        <w:rPr>
          <w:rFonts w:ascii="Times New Roman" w:hAnsi="Times New Roman" w:cs="Times New Roman"/>
          <w:sz w:val="24"/>
          <w:szCs w:val="24"/>
        </w:rPr>
        <w:t xml:space="preserve"> станций.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3"/>
      <w:bookmarkEnd w:id="6"/>
      <w:r w:rsidRPr="00150AB9">
        <w:rPr>
          <w:rFonts w:ascii="Times New Roman" w:hAnsi="Times New Roman" w:cs="Times New Roman"/>
          <w:sz w:val="24"/>
          <w:szCs w:val="24"/>
        </w:rPr>
        <w:t xml:space="preserve">2.1. В соответствии с </w:t>
      </w:r>
      <w:hyperlink r:id="rId8" w:history="1">
        <w:r w:rsidRPr="00150AB9">
          <w:rPr>
            <w:rFonts w:ascii="Times New Roman" w:hAnsi="Times New Roman" w:cs="Times New Roman"/>
            <w:sz w:val="24"/>
            <w:szCs w:val="24"/>
          </w:rPr>
          <w:t>абзацем двенадцатым статьи 346.27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 Налогового кодекса РФ с 1 января 2020 года не признается розничной торговлей реализация товаров, подлежащих маркировке контрольными (идентификационными) знаками в соответствии с законодательством Российской Федерации: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 xml:space="preserve">1) лекарственных препаратов, обязательная маркировка которых установлена Федеральным </w:t>
      </w:r>
      <w:hyperlink r:id="rId9" w:history="1">
        <w:r w:rsidRPr="00150AB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 от 12 апреля 2010 года N 61-ФЗ "Об обращении лекарственных средств";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 xml:space="preserve">2) обувных товаров, обязательная маркировка которых установлена </w:t>
      </w:r>
      <w:hyperlink r:id="rId10" w:history="1">
        <w:r w:rsidRPr="00150AB9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28 апреля 2018 года N 792-р "Об утверждении перечня отдельных товаров, подлежащих обязательной маркировке средствами идентификации";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0AB9">
        <w:rPr>
          <w:rFonts w:ascii="Times New Roman" w:hAnsi="Times New Roman" w:cs="Times New Roman"/>
          <w:sz w:val="24"/>
          <w:szCs w:val="24"/>
        </w:rPr>
        <w:t xml:space="preserve">3) предметов одежды, принадлежностей к одежде и прочих изделий из натурального меха, обязательная маркировка которых установлена </w:t>
      </w:r>
      <w:hyperlink r:id="rId11" w:history="1">
        <w:r w:rsidRPr="00150AB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11 августа 2016 года N 787 "О реализации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 из натурального меха".</w:t>
      </w:r>
      <w:proofErr w:type="gramEnd"/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Доходы, полученные от такой деятельности, облагаются в рамках общего режима налогообложения либо упрощенной системы налогообложения.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 xml:space="preserve">(п. 2.1 </w:t>
      </w:r>
      <w:proofErr w:type="gramStart"/>
      <w:r w:rsidRPr="00150AB9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150AB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150AB9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 Орловского районного Совета народных депутатов от 26.12.2019 N 150-МПА)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150AB9">
        <w:rPr>
          <w:rFonts w:ascii="Times New Roman" w:hAnsi="Times New Roman" w:cs="Times New Roman"/>
          <w:sz w:val="24"/>
          <w:szCs w:val="24"/>
        </w:rPr>
        <w:t xml:space="preserve">Если по итогам налогового периода у налогоплательщика средняя численность </w:t>
      </w:r>
      <w:r w:rsidRPr="00150AB9">
        <w:rPr>
          <w:rFonts w:ascii="Times New Roman" w:hAnsi="Times New Roman" w:cs="Times New Roman"/>
          <w:sz w:val="24"/>
          <w:szCs w:val="24"/>
        </w:rPr>
        <w:lastRenderedPageBreak/>
        <w:t xml:space="preserve">работников превысила 100 человек и (или) было допущено нарушение требования, установленного </w:t>
      </w:r>
      <w:hyperlink w:anchor="P30" w:history="1">
        <w:r w:rsidRPr="00150AB9">
          <w:rPr>
            <w:rFonts w:ascii="Times New Roman" w:hAnsi="Times New Roman" w:cs="Times New Roman"/>
            <w:sz w:val="24"/>
            <w:szCs w:val="24"/>
          </w:rPr>
          <w:t>пунктом 2 подпунктом 2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 решения о системе налогообложения в виде единого налога на вмененный доход для отдельных видов деятельности на территории Орловского района, и (или) при осуществлении видов предпринимательской деятельности, указанных в </w:t>
      </w:r>
      <w:hyperlink w:anchor="P19" w:history="1">
        <w:r w:rsidRPr="00150AB9">
          <w:rPr>
            <w:rFonts w:ascii="Times New Roman" w:hAnsi="Times New Roman" w:cs="Times New Roman"/>
            <w:sz w:val="24"/>
            <w:szCs w:val="24"/>
          </w:rPr>
          <w:t>подпунктах 6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0" w:history="1">
        <w:r w:rsidRPr="00150AB9">
          <w:rPr>
            <w:rFonts w:ascii="Times New Roman" w:hAnsi="Times New Roman" w:cs="Times New Roman"/>
            <w:sz w:val="24"/>
            <w:szCs w:val="24"/>
          </w:rPr>
          <w:t>7 пункта 1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 настоящего решения</w:t>
      </w:r>
      <w:proofErr w:type="gramEnd"/>
      <w:r w:rsidRPr="00150AB9">
        <w:rPr>
          <w:rFonts w:ascii="Times New Roman" w:hAnsi="Times New Roman" w:cs="Times New Roman"/>
          <w:sz w:val="24"/>
          <w:szCs w:val="24"/>
        </w:rPr>
        <w:t xml:space="preserve">, была осуществлена реализация товаров, не относящихся к розничной торговле в соответствии с </w:t>
      </w:r>
      <w:hyperlink w:anchor="P33" w:history="1">
        <w:r w:rsidRPr="00150AB9">
          <w:rPr>
            <w:rFonts w:ascii="Times New Roman" w:hAnsi="Times New Roman" w:cs="Times New Roman"/>
            <w:sz w:val="24"/>
            <w:szCs w:val="24"/>
          </w:rPr>
          <w:t>пунктом 2.1</w:t>
        </w:r>
      </w:hyperlink>
      <w:r w:rsidRPr="00150AB9">
        <w:rPr>
          <w:rFonts w:ascii="Times New Roman" w:hAnsi="Times New Roman" w:cs="Times New Roman"/>
          <w:sz w:val="24"/>
          <w:szCs w:val="24"/>
        </w:rPr>
        <w:t>, налогоплательщик утрачивает право на применение системы налогообложения, установленной настоящим решением, и считается перешедшим на общий режим налогообложения с начала налогового периода, в котором были допущены нарушения указанных требований. При этом суммы налогов, подлежащих уплате при использовании общего режима налогообложения, исчисляются и уплачиваются в порядке, предусмотренном законодательством Российской Федерации о налогах и сборах для вновь зарегистрированных индивидуальных предпринимателей.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50AB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50AB9">
        <w:rPr>
          <w:rFonts w:ascii="Times New Roman" w:hAnsi="Times New Roman" w:cs="Times New Roman"/>
          <w:sz w:val="24"/>
          <w:szCs w:val="24"/>
        </w:rPr>
        <w:t xml:space="preserve">. 2.2 введен </w:t>
      </w:r>
      <w:hyperlink r:id="rId13" w:history="1">
        <w:r w:rsidRPr="00150AB9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 Орловского районного Совета народных депутатов от 26.12.2019 N 150-МПА)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 xml:space="preserve">3. Налогоплательщиками являются организации и индивидуальные предприниматели, осуществляющие на территории Орловского района предпринимательскую деятельность, облагаемую единым налогом, и добровольно перешедшие на уплату единого налога в порядке, установленном </w:t>
      </w:r>
      <w:hyperlink r:id="rId14" w:history="1">
        <w:r w:rsidRPr="00150AB9">
          <w:rPr>
            <w:rFonts w:ascii="Times New Roman" w:hAnsi="Times New Roman" w:cs="Times New Roman"/>
            <w:sz w:val="24"/>
            <w:szCs w:val="24"/>
          </w:rPr>
          <w:t>главой 26.3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Организации и индивидуальные предприниматели, изъявившие желание перейти на уплату единого налога, обязаны встать на учет в качестве налогоплательщиков единого налога в налоговом органе.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 xml:space="preserve">На розничных рынках, образованных в соответствии с Федеральным </w:t>
      </w:r>
      <w:hyperlink r:id="rId15" w:history="1">
        <w:r w:rsidRPr="00150AB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 от 30 декабря 2006 года N 271-ФЗ "О розничных рынках и о внесении изменений в Трудовой кодекс Российской Федерации", налогоплательщиками в отношении видов предпринимательской деятельности, предусмотренных </w:t>
      </w:r>
      <w:hyperlink w:anchor="P26" w:history="1">
        <w:r w:rsidRPr="00150AB9">
          <w:rPr>
            <w:rFonts w:ascii="Times New Roman" w:hAnsi="Times New Roman" w:cs="Times New Roman"/>
            <w:sz w:val="24"/>
            <w:szCs w:val="24"/>
          </w:rPr>
          <w:t>подпунктами 13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7" w:history="1">
        <w:r w:rsidRPr="00150AB9">
          <w:rPr>
            <w:rFonts w:ascii="Times New Roman" w:hAnsi="Times New Roman" w:cs="Times New Roman"/>
            <w:sz w:val="24"/>
            <w:szCs w:val="24"/>
          </w:rPr>
          <w:t>14 пункта 1</w:t>
        </w:r>
      </w:hyperlink>
      <w:r w:rsidRPr="00150AB9">
        <w:rPr>
          <w:rFonts w:ascii="Times New Roman" w:hAnsi="Times New Roman" w:cs="Times New Roman"/>
          <w:sz w:val="24"/>
          <w:szCs w:val="24"/>
        </w:rPr>
        <w:t>, являются управляющие рынком компании.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4. Для исчисления суммы единого налога используются физические показатели, характеризующие определенный вид деяте</w:t>
      </w:r>
      <w:bookmarkStart w:id="7" w:name="_GoBack"/>
      <w:bookmarkEnd w:id="7"/>
      <w:r w:rsidRPr="00150AB9">
        <w:rPr>
          <w:rFonts w:ascii="Times New Roman" w:hAnsi="Times New Roman" w:cs="Times New Roman"/>
          <w:sz w:val="24"/>
          <w:szCs w:val="24"/>
        </w:rPr>
        <w:t xml:space="preserve">льности, и базовая доходность в месяц согласно </w:t>
      </w:r>
      <w:hyperlink w:anchor="P79" w:history="1">
        <w:r w:rsidRPr="00150AB9">
          <w:rPr>
            <w:rFonts w:ascii="Times New Roman" w:hAnsi="Times New Roman" w:cs="Times New Roman"/>
            <w:sz w:val="24"/>
            <w:szCs w:val="24"/>
          </w:rPr>
          <w:t>приложению 1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Значения коэффициента К</w:t>
      </w:r>
      <w:proofErr w:type="gramStart"/>
      <w:r w:rsidRPr="00150AB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50AB9">
        <w:rPr>
          <w:rFonts w:ascii="Times New Roman" w:hAnsi="Times New Roman" w:cs="Times New Roman"/>
          <w:sz w:val="24"/>
          <w:szCs w:val="24"/>
        </w:rPr>
        <w:t xml:space="preserve"> - корректирующего коэффициента базовой доходности, учитывающего совокупность особенностей ведения предпринимательской деятельности, применяются в соответствии с </w:t>
      </w:r>
      <w:hyperlink w:anchor="P164" w:history="1">
        <w:r w:rsidRPr="00150AB9">
          <w:rPr>
            <w:rFonts w:ascii="Times New Roman" w:hAnsi="Times New Roman" w:cs="Times New Roman"/>
            <w:sz w:val="24"/>
            <w:szCs w:val="24"/>
          </w:rPr>
          <w:t>приложениями 2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60" w:history="1">
        <w:r w:rsidRPr="00150AB9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07" w:history="1">
        <w:r w:rsidRPr="00150AB9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54" w:history="1">
        <w:r w:rsidRPr="00150AB9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 xml:space="preserve">Индивидуальные предприниматели - одинокие матери (отцы), воспитывающие несовершеннолетних детей и детей-инвалидов, предприниматели, имеющие на иждивении трех и более детей; пенсионеры, получающие пенсии, в соответствии с пенсионным законодательством Российской Федерации применяют при расчете единого налога указанный в </w:t>
      </w:r>
      <w:hyperlink w:anchor="P164" w:history="1">
        <w:r w:rsidRPr="00150AB9">
          <w:rPr>
            <w:rFonts w:ascii="Times New Roman" w:hAnsi="Times New Roman" w:cs="Times New Roman"/>
            <w:sz w:val="24"/>
            <w:szCs w:val="24"/>
          </w:rPr>
          <w:t>приложениях 2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60" w:history="1">
        <w:r w:rsidRPr="00150AB9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07" w:history="1">
        <w:r w:rsidRPr="00150AB9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 корректирующий коэффициент К</w:t>
      </w:r>
      <w:proofErr w:type="gramStart"/>
      <w:r w:rsidRPr="00150AB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50AB9">
        <w:rPr>
          <w:rFonts w:ascii="Times New Roman" w:hAnsi="Times New Roman" w:cs="Times New Roman"/>
          <w:sz w:val="24"/>
          <w:szCs w:val="24"/>
        </w:rPr>
        <w:t>, пониженный на 30 процентов. Право на понижение коэффициента К</w:t>
      </w:r>
      <w:proofErr w:type="gramStart"/>
      <w:r w:rsidRPr="00150AB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50AB9">
        <w:rPr>
          <w:rFonts w:ascii="Times New Roman" w:hAnsi="Times New Roman" w:cs="Times New Roman"/>
          <w:sz w:val="24"/>
          <w:szCs w:val="24"/>
        </w:rPr>
        <w:t xml:space="preserve"> подтверждается соответствующими документами.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Значения корректирующего коэффициента К</w:t>
      </w:r>
      <w:proofErr w:type="gramStart"/>
      <w:r w:rsidRPr="00150AB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50AB9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hyperlink w:anchor="P164" w:history="1">
        <w:r w:rsidRPr="00150AB9">
          <w:rPr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150AB9">
        <w:rPr>
          <w:rFonts w:ascii="Times New Roman" w:hAnsi="Times New Roman" w:cs="Times New Roman"/>
          <w:sz w:val="24"/>
          <w:szCs w:val="24"/>
        </w:rPr>
        <w:t>, понижаются на: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- 30% в населенных пунктах с численностью населения свыше 3 тыс. человек;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- 40% в населенных пунктах с численностью населения свыше 1 тыс. человек до 3 тыс. человек включительно;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- 50% в сельских населенных пунктах с численностью населения от 400 человек до 1 тыс. человек включительно;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- 60% в сельских населенных пунктах с численностью населения до 400 человек.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Значения корректирующего коэффициента К</w:t>
      </w:r>
      <w:proofErr w:type="gramStart"/>
      <w:r w:rsidRPr="00150AB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50AB9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hyperlink w:anchor="P260" w:history="1">
        <w:r w:rsidRPr="00150AB9">
          <w:rPr>
            <w:rFonts w:ascii="Times New Roman" w:hAnsi="Times New Roman" w:cs="Times New Roman"/>
            <w:sz w:val="24"/>
            <w:szCs w:val="24"/>
          </w:rPr>
          <w:t>приложениях 3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07" w:history="1">
        <w:r w:rsidRPr="00150AB9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150AB9">
        <w:rPr>
          <w:rFonts w:ascii="Times New Roman" w:hAnsi="Times New Roman" w:cs="Times New Roman"/>
          <w:sz w:val="24"/>
          <w:szCs w:val="24"/>
        </w:rPr>
        <w:t>, понижаются на: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- 60% в населенных пунктах с численностью населения свыше 3 тысяч человек;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lastRenderedPageBreak/>
        <w:t>- 70% в населенных пунктах с численностью населения свыше 1 тыс. человек до 3 тысяч включительно;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- 87% в сельских населенных пунктах с численностью населения от 400 человек до 1 тысячи человек;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- 95% в сельских населенных пунктах с численностью населения до 400 человек и местах вне населенных пунктов, расположенных на трассе республиканского значения, для которых применяется К</w:t>
      </w:r>
      <w:proofErr w:type="gramStart"/>
      <w:r w:rsidRPr="00150AB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50AB9">
        <w:rPr>
          <w:rFonts w:ascii="Times New Roman" w:hAnsi="Times New Roman" w:cs="Times New Roman"/>
          <w:sz w:val="24"/>
          <w:szCs w:val="24"/>
        </w:rPr>
        <w:t xml:space="preserve"> - коэффициент, пониженный на 50%.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Для индивидуальных предпринимателей, осуществляющих розничную торговлю на рынках только в общеустановленные выходные и праздничные дни, корректирующий коэффициент К</w:t>
      </w:r>
      <w:proofErr w:type="gramStart"/>
      <w:r w:rsidRPr="00150AB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50AB9">
        <w:rPr>
          <w:rFonts w:ascii="Times New Roman" w:hAnsi="Times New Roman" w:cs="Times New Roman"/>
          <w:sz w:val="24"/>
          <w:szCs w:val="24"/>
        </w:rPr>
        <w:t xml:space="preserve"> применяется пониженным на 50% по отношению к его значениям, указанным в </w:t>
      </w:r>
      <w:hyperlink w:anchor="P260" w:history="1">
        <w:r w:rsidRPr="00150AB9">
          <w:rPr>
            <w:rFonts w:ascii="Times New Roman" w:hAnsi="Times New Roman" w:cs="Times New Roman"/>
            <w:sz w:val="24"/>
            <w:szCs w:val="24"/>
          </w:rPr>
          <w:t>приложениях 3</w:t>
        </w:r>
      </w:hyperlink>
      <w:r w:rsidRPr="00150AB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07" w:history="1">
        <w:r w:rsidRPr="00150AB9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150AB9">
        <w:rPr>
          <w:rFonts w:ascii="Times New Roman" w:hAnsi="Times New Roman" w:cs="Times New Roman"/>
          <w:sz w:val="24"/>
          <w:szCs w:val="24"/>
        </w:rPr>
        <w:t>, при наличии отметки налогового органа "только для работы в выходные и праздничные дни", заверенной печатью в книге учета доходов и расходов предпринимателя.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5. Опубликовать настоящее решение в "Орловской районной газете" и разместить на официальном Интернет-сайте Орловского района.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6. Настоящее решение вступает в силу через месяц со дня официального опубликования.</w:t>
      </w: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215" w:rsidRPr="00150AB9" w:rsidRDefault="00E00215" w:rsidP="00150AB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E00215" w:rsidRPr="00150AB9" w:rsidRDefault="00E00215" w:rsidP="00150AB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Орловского районного</w:t>
      </w:r>
    </w:p>
    <w:p w:rsidR="00E00215" w:rsidRPr="00150AB9" w:rsidRDefault="00E00215" w:rsidP="00150AB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E00215" w:rsidRPr="00150AB9" w:rsidRDefault="00E00215" w:rsidP="00150AB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В.Н.ЛОГВИНОВ</w:t>
      </w:r>
    </w:p>
    <w:p w:rsidR="00E00215" w:rsidRPr="00150AB9" w:rsidRDefault="00E00215" w:rsidP="00150AB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0215" w:rsidRPr="00150AB9" w:rsidRDefault="00E00215" w:rsidP="00150AB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Глава Орловского района</w:t>
      </w:r>
    </w:p>
    <w:p w:rsidR="00E00215" w:rsidRPr="00150AB9" w:rsidRDefault="00E00215" w:rsidP="00150AB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50AB9">
        <w:rPr>
          <w:rFonts w:ascii="Times New Roman" w:hAnsi="Times New Roman" w:cs="Times New Roman"/>
          <w:sz w:val="24"/>
          <w:szCs w:val="24"/>
        </w:rPr>
        <w:t>Ю.Н.ПАРАХИН</w:t>
      </w:r>
    </w:p>
    <w:p w:rsidR="00E00215" w:rsidRPr="00150AB9" w:rsidRDefault="00E00215" w:rsidP="00150AB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0215" w:rsidRPr="00150AB9" w:rsidRDefault="00E00215" w:rsidP="00150AB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0215" w:rsidRPr="00150AB9" w:rsidRDefault="00E00215" w:rsidP="00150AB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9B9" w:rsidRPr="00150AB9" w:rsidRDefault="00D039B9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9B9" w:rsidRPr="00150AB9" w:rsidRDefault="00D039B9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4B2" w:rsidRPr="00150AB9" w:rsidRDefault="006704B2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4B2" w:rsidRPr="00150AB9" w:rsidRDefault="006704B2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4B2" w:rsidRPr="00150AB9" w:rsidRDefault="006704B2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4B2" w:rsidRPr="00150AB9" w:rsidRDefault="006704B2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9B9" w:rsidRPr="00150AB9" w:rsidRDefault="00D039B9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9B9" w:rsidRPr="00150AB9" w:rsidRDefault="00D039B9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215" w:rsidRPr="00150AB9" w:rsidRDefault="00E00215" w:rsidP="00F53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AB9" w:rsidRPr="00150AB9" w:rsidRDefault="00150A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50AB9" w:rsidRPr="00150AB9" w:rsidSect="00E0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15"/>
    <w:rsid w:val="00150AB9"/>
    <w:rsid w:val="003E013B"/>
    <w:rsid w:val="006704B2"/>
    <w:rsid w:val="00B45697"/>
    <w:rsid w:val="00D039B9"/>
    <w:rsid w:val="00E00215"/>
    <w:rsid w:val="00F5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002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002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5DB44FD4E6947FA710B13D6E325DDA9DA594C9C310CDF5522B8D022999571573DBDB833BD00EB06A8F37A0882AB31823A2E6DD106743g4T2H" TargetMode="External"/><Relationship Id="rId13" Type="http://schemas.openxmlformats.org/officeDocument/2006/relationships/hyperlink" Target="consultantplus://offline/ref=B25DB44FD4E6947FA710AF30785E02D599AAC8C7C315CEAB0974D65F7E905D42349482C177DE09B561DB67E6D673E05A68AFE6C50C67435CCE1CA8g9T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5DB44FD4E6947FA710B13D6E325DDA9FA59ECCC518CDF5522B8D022999571561DB838F31D516B563C564E4DFg2T7H" TargetMode="External"/><Relationship Id="rId12" Type="http://schemas.openxmlformats.org/officeDocument/2006/relationships/hyperlink" Target="consultantplus://offline/ref=B25DB44FD4E6947FA710AF30785E02D599AAC8C7C315CEAB0974D65F7E905D42349482C177DE09B561DB66E2D673E05A68AFE6C50C67435CCE1CA8g9T4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5DB44FD4E6947FA710B13D6E325DDA9CA191CDC411CDF5522B8D022999571561DB838F31D516B563C564E4DFg2T7H" TargetMode="External"/><Relationship Id="rId11" Type="http://schemas.openxmlformats.org/officeDocument/2006/relationships/hyperlink" Target="consultantplus://offline/ref=B25DB44FD4E6947FA710B13D6E325DDA9DA396CFC617CDF5522B8D022999571561DB838F31D516B563C564E4DFg2T7H" TargetMode="External"/><Relationship Id="rId5" Type="http://schemas.openxmlformats.org/officeDocument/2006/relationships/hyperlink" Target="consultantplus://offline/ref=B25DB44FD4E6947FA710B13D6E325DDA9DA596CDC214CDF5522B8D022999571561DB838F31D516B563C564E4DFg2T7H" TargetMode="External"/><Relationship Id="rId15" Type="http://schemas.openxmlformats.org/officeDocument/2006/relationships/hyperlink" Target="consultantplus://offline/ref=B25DB44FD4E6947FA710B13D6E325DDA9DA29FC8C719CDF5522B8D022999571561DB838F31D516B563C564E4DFg2T7H" TargetMode="External"/><Relationship Id="rId10" Type="http://schemas.openxmlformats.org/officeDocument/2006/relationships/hyperlink" Target="consultantplus://offline/ref=B25DB44FD4E6947FA710B13D6E325DDA9DA592C3C516CDF5522B8D022999571561DB838F31D516B563C564E4DFg2T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5DB44FD4E6947FA710B13D6E325DDA9DA594CAC517CDF5522B8D022999571561DB838F31D516B563C564E4DFg2T7H" TargetMode="External"/><Relationship Id="rId14" Type="http://schemas.openxmlformats.org/officeDocument/2006/relationships/hyperlink" Target="consultantplus://offline/ref=B25DB44FD4E6947FA710B13D6E325DDA9DA594C9C310CDF5522B8D022999571573DBDB8333D00FB762D032B59972BC1C3BBCE4C10C654140gCT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Лутченко Ольга Юрьевна</dc:creator>
  <cp:lastModifiedBy>Голубятникова Юлия Сергеевна</cp:lastModifiedBy>
  <cp:revision>3</cp:revision>
  <dcterms:created xsi:type="dcterms:W3CDTF">2020-02-27T07:07:00Z</dcterms:created>
  <dcterms:modified xsi:type="dcterms:W3CDTF">2020-02-27T07:07:00Z</dcterms:modified>
</cp:coreProperties>
</file>