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624" w:rsidRPr="002513D7" w:rsidRDefault="00DB3624">
      <w:pPr>
        <w:pStyle w:val="ConsPlusTitle"/>
        <w:jc w:val="center"/>
      </w:pPr>
      <w:r w:rsidRPr="002513D7">
        <w:t>КУНГУРСКАЯ ГОРОДСКАЯ ДУМА</w:t>
      </w:r>
    </w:p>
    <w:p w:rsidR="00DB3624" w:rsidRPr="002513D7" w:rsidRDefault="00DB3624">
      <w:pPr>
        <w:pStyle w:val="ConsPlusTitle"/>
        <w:jc w:val="center"/>
      </w:pPr>
    </w:p>
    <w:p w:rsidR="00DB3624" w:rsidRPr="002513D7" w:rsidRDefault="00DB3624">
      <w:pPr>
        <w:pStyle w:val="ConsPlusTitle"/>
        <w:jc w:val="center"/>
      </w:pPr>
      <w:r w:rsidRPr="002513D7">
        <w:t>РЕШЕНИЕ</w:t>
      </w:r>
    </w:p>
    <w:p w:rsidR="00DB3624" w:rsidRPr="002513D7" w:rsidRDefault="00DB3624">
      <w:pPr>
        <w:pStyle w:val="ConsPlusTitle"/>
        <w:jc w:val="center"/>
      </w:pPr>
      <w:r w:rsidRPr="002513D7">
        <w:t>от 17 ноября 2005 г. N 241</w:t>
      </w:r>
    </w:p>
    <w:p w:rsidR="00DB3624" w:rsidRPr="002513D7" w:rsidRDefault="00DB3624">
      <w:pPr>
        <w:pStyle w:val="ConsPlusTitle"/>
        <w:jc w:val="center"/>
      </w:pPr>
    </w:p>
    <w:p w:rsidR="00DB3624" w:rsidRPr="002513D7" w:rsidRDefault="00DB3624">
      <w:pPr>
        <w:pStyle w:val="ConsPlusTitle"/>
        <w:jc w:val="center"/>
      </w:pPr>
      <w:r w:rsidRPr="002513D7">
        <w:t>О ВНЕСЕНИИ ИЗМЕНЕНИЙ И ДОПОЛНЕНИЙ В ПОЛОЖЕНИЕ</w:t>
      </w:r>
    </w:p>
    <w:p w:rsidR="00DB3624" w:rsidRPr="002513D7" w:rsidRDefault="00DB3624">
      <w:pPr>
        <w:pStyle w:val="ConsPlusTitle"/>
        <w:jc w:val="center"/>
      </w:pPr>
      <w:r w:rsidRPr="002513D7">
        <w:t>"О НАЛОГООБЛОЖЕНИИ НА ТЕРРИТОРИИ МУНИЦИПАЛЬНОГО</w:t>
      </w:r>
    </w:p>
    <w:p w:rsidR="00DB3624" w:rsidRPr="002513D7" w:rsidRDefault="00DB3624">
      <w:pPr>
        <w:pStyle w:val="ConsPlusTitle"/>
        <w:jc w:val="center"/>
      </w:pPr>
      <w:r w:rsidRPr="002513D7">
        <w:t>ОБРАЗОВАНИЯ ГОРОД КУНГУР"</w:t>
      </w:r>
    </w:p>
    <w:p w:rsidR="00DB3624" w:rsidRPr="002513D7" w:rsidRDefault="00DB3624">
      <w:pPr>
        <w:pStyle w:val="ConsPlusNormal"/>
        <w:jc w:val="center"/>
      </w:pPr>
      <w:r w:rsidRPr="002513D7">
        <w:t>Список изменяющих документов</w:t>
      </w:r>
    </w:p>
    <w:p w:rsidR="00DB3624" w:rsidRDefault="00DB3624" w:rsidP="00014FA2">
      <w:pPr>
        <w:pStyle w:val="ConsPlusNormal"/>
        <w:jc w:val="center"/>
      </w:pPr>
      <w:r>
        <w:t>(в ред. решений Кунгурской городской Думы</w:t>
      </w:r>
    </w:p>
    <w:p w:rsidR="00DB3624" w:rsidRDefault="00DB3624" w:rsidP="00014FA2">
      <w:pPr>
        <w:pStyle w:val="ConsPlusNormal"/>
        <w:jc w:val="center"/>
      </w:pPr>
      <w:r>
        <w:t>от 16.02.2006 N 284, от 22.06.2006 N 336,</w:t>
      </w:r>
    </w:p>
    <w:p w:rsidR="00DB3624" w:rsidRPr="002513D7" w:rsidRDefault="00DB3624" w:rsidP="00014FA2">
      <w:pPr>
        <w:pStyle w:val="ConsPlusNormal"/>
        <w:jc w:val="center"/>
      </w:pPr>
      <w:r>
        <w:t>от 19.12.2006 N 397)</w:t>
      </w:r>
    </w:p>
    <w:p w:rsidR="00DB3624" w:rsidRPr="002513D7" w:rsidRDefault="00DB3624">
      <w:pPr>
        <w:pStyle w:val="ConsPlusNormal"/>
        <w:ind w:firstLine="540"/>
        <w:jc w:val="both"/>
      </w:pPr>
    </w:p>
    <w:p w:rsidR="00DB3624" w:rsidRDefault="00DB3624" w:rsidP="00FC5BEB">
      <w:pPr>
        <w:pStyle w:val="ConsPlusNormal"/>
        <w:ind w:firstLine="540"/>
        <w:jc w:val="both"/>
      </w:pPr>
      <w:r>
        <w:t>В соответствии с Законом Пермской области N 1685-296 "О налогообложении в Пермской области" Кунгурская городская Дума решила:</w:t>
      </w:r>
    </w:p>
    <w:p w:rsidR="00DB3624" w:rsidRDefault="00DB3624" w:rsidP="00FC5BEB">
      <w:pPr>
        <w:pStyle w:val="ConsPlusNormal"/>
        <w:ind w:firstLine="540"/>
        <w:jc w:val="both"/>
      </w:pPr>
    </w:p>
    <w:p w:rsidR="00DB3624" w:rsidRDefault="00DB3624" w:rsidP="00FC5BEB">
      <w:pPr>
        <w:pStyle w:val="ConsPlusNormal"/>
        <w:ind w:firstLine="540"/>
        <w:jc w:val="both"/>
      </w:pPr>
      <w:r>
        <w:t>1. Внести в Положение "О налогообложении на территории муниципального образования г. Кунгур", утвержденное решением Думы от 27 марта 2003 г. N 377, следующие изменения и дополнения:</w:t>
      </w:r>
    </w:p>
    <w:p w:rsidR="00DB3624" w:rsidRDefault="00DB3624" w:rsidP="00FC5BEB">
      <w:pPr>
        <w:pStyle w:val="ConsPlusNormal"/>
        <w:ind w:firstLine="540"/>
        <w:jc w:val="both"/>
      </w:pPr>
      <w:r>
        <w:t>1.1. По тексту Положения: слова "региональные налоги и сборы" и "местные налоги и сборы" заменить словами "региональные налоги", "местные налоги".</w:t>
      </w:r>
    </w:p>
    <w:p w:rsidR="00DB3624" w:rsidRDefault="00DB3624" w:rsidP="00FC5BEB">
      <w:pPr>
        <w:pStyle w:val="ConsPlusNormal"/>
        <w:ind w:firstLine="540"/>
        <w:jc w:val="both"/>
      </w:pPr>
      <w:r>
        <w:t>1.2. В пункте 3.1 абзац "налог на имущество предприятий" заменить абзацем "налог на имущество организаций".</w:t>
      </w:r>
    </w:p>
    <w:p w:rsidR="00DB3624" w:rsidRDefault="00DB3624" w:rsidP="00FC5BEB">
      <w:pPr>
        <w:pStyle w:val="ConsPlusNormal"/>
        <w:ind w:firstLine="540"/>
        <w:jc w:val="both"/>
      </w:pPr>
      <w:r>
        <w:t>1.3. В пункте 5.1 слова "и сборам, а также по федеральным налогам и сборам" исключить.</w:t>
      </w:r>
    </w:p>
    <w:p w:rsidR="00DB3624" w:rsidRDefault="00DB3624" w:rsidP="00FC5BEB">
      <w:pPr>
        <w:pStyle w:val="ConsPlusNormal"/>
        <w:ind w:firstLine="540"/>
        <w:jc w:val="both"/>
      </w:pPr>
      <w:r>
        <w:t>1.4. Пункт 5.2, главу 6 "Списание безнадежных долгов по налогам и сборам, а также пени" и главу 7 "Изменение срока уплаты налога и сбора, а также пени" исключить.</w:t>
      </w:r>
    </w:p>
    <w:p w:rsidR="00DB3624" w:rsidRDefault="00DB3624" w:rsidP="00FC5BEB">
      <w:pPr>
        <w:pStyle w:val="ConsPlusNormal"/>
        <w:ind w:firstLine="540"/>
        <w:jc w:val="both"/>
      </w:pPr>
      <w:r>
        <w:t>1.5. Главу 8 "Налог на имущество физических лиц" считать главой 6 и изложить в следующей редакции:</w:t>
      </w:r>
    </w:p>
    <w:p w:rsidR="00DB3624" w:rsidRDefault="00DB3624" w:rsidP="00FC5BEB">
      <w:pPr>
        <w:pStyle w:val="ConsPlusNormal"/>
        <w:ind w:firstLine="540"/>
        <w:jc w:val="both"/>
      </w:pPr>
      <w:r>
        <w:t>"6.1. Общие положения</w:t>
      </w:r>
    </w:p>
    <w:p w:rsidR="00DB3624" w:rsidRDefault="00DB3624" w:rsidP="00FC5BEB">
      <w:pPr>
        <w:pStyle w:val="ConsPlusNormal"/>
        <w:ind w:firstLine="540"/>
        <w:jc w:val="both"/>
      </w:pPr>
    </w:p>
    <w:p w:rsidR="00DB3624" w:rsidRDefault="00DB3624" w:rsidP="00FC5BEB">
      <w:pPr>
        <w:pStyle w:val="ConsPlusNormal"/>
        <w:ind w:firstLine="540"/>
        <w:jc w:val="both"/>
      </w:pPr>
      <w:r>
        <w:t xml:space="preserve">Налог на имущество физических лиц является местным налогом и уплачивается собственниками имущества на основании ст. 12, 15 Налогового кодекса Российской Федерации, Федерального закона от 6 октября </w:t>
      </w:r>
      <w:smartTag w:uri="urn:schemas-microsoft-com:office:smarttags" w:element="metricconverter">
        <w:smartTagPr>
          <w:attr w:name="ProductID" w:val="600 кв. м"/>
        </w:smartTagPr>
        <w:r>
          <w:t>2003 г</w:t>
        </w:r>
      </w:smartTag>
      <w:r>
        <w:t xml:space="preserve">. N 131-ФЗ "Об общих принципах организации местного самоуправления в Российской Федерации", Закона РФ от 9 декабря </w:t>
      </w:r>
      <w:smartTag w:uri="urn:schemas-microsoft-com:office:smarttags" w:element="metricconverter">
        <w:smartTagPr>
          <w:attr w:name="ProductID" w:val="600 кв. м"/>
        </w:smartTagPr>
        <w:r>
          <w:t>1991 г</w:t>
        </w:r>
      </w:smartTag>
      <w:r>
        <w:t>. N 2003-1 "О налогах на имущество физических лиц" с учетом особенностей, предусмотренных настоящим Положением.</w:t>
      </w:r>
    </w:p>
    <w:p w:rsidR="00DB3624" w:rsidRDefault="00DB3624" w:rsidP="00FC5BEB">
      <w:pPr>
        <w:pStyle w:val="ConsPlusNormal"/>
        <w:ind w:firstLine="540"/>
        <w:jc w:val="both"/>
      </w:pPr>
    </w:p>
    <w:p w:rsidR="00DB3624" w:rsidRDefault="00DB3624" w:rsidP="00FC5BEB">
      <w:pPr>
        <w:pStyle w:val="ConsPlusNormal"/>
        <w:ind w:firstLine="540"/>
        <w:jc w:val="both"/>
      </w:pPr>
      <w:r>
        <w:t>6.2. Объекты налогообложения</w:t>
      </w:r>
    </w:p>
    <w:p w:rsidR="00DB3624" w:rsidRDefault="00DB3624" w:rsidP="00FC5BEB">
      <w:pPr>
        <w:pStyle w:val="ConsPlusNormal"/>
        <w:ind w:firstLine="540"/>
        <w:jc w:val="both"/>
      </w:pPr>
    </w:p>
    <w:p w:rsidR="00DB3624" w:rsidRDefault="00DB3624" w:rsidP="00FC5BEB">
      <w:pPr>
        <w:pStyle w:val="ConsPlusNormal"/>
        <w:ind w:firstLine="540"/>
        <w:jc w:val="both"/>
      </w:pPr>
      <w:r>
        <w:t>Объектами налогообложения являются находящиеся в собственности физических лиц жилые дома, квартиры, дачи, гаражи и иные строения, помещения и сооружения, расположенные на территории г. Кунгура.</w:t>
      </w:r>
    </w:p>
    <w:p w:rsidR="00DB3624" w:rsidRDefault="00DB3624" w:rsidP="00FC5BEB">
      <w:pPr>
        <w:pStyle w:val="ConsPlusNormal"/>
        <w:ind w:firstLine="540"/>
        <w:jc w:val="both"/>
      </w:pPr>
    </w:p>
    <w:p w:rsidR="00DB3624" w:rsidRDefault="00DB3624" w:rsidP="00FC5BEB">
      <w:pPr>
        <w:pStyle w:val="ConsPlusNormal"/>
        <w:ind w:firstLine="540"/>
        <w:jc w:val="both"/>
      </w:pPr>
      <w:r>
        <w:t>6.3. Ставки налога</w:t>
      </w:r>
    </w:p>
    <w:p w:rsidR="00DB3624" w:rsidRDefault="00DB3624" w:rsidP="00FC5BEB">
      <w:pPr>
        <w:pStyle w:val="ConsPlusNormal"/>
        <w:ind w:firstLine="540"/>
        <w:jc w:val="both"/>
      </w:pPr>
    </w:p>
    <w:p w:rsidR="00DB3624" w:rsidRPr="00014FA2" w:rsidRDefault="00DB3624" w:rsidP="00FC5BEB">
      <w:pPr>
        <w:pStyle w:val="ConsPlusNormal"/>
        <w:ind w:firstLine="540"/>
        <w:jc w:val="both"/>
      </w:pPr>
      <w:r>
        <w:t>Установить следующие ставки налога на строения, помещения и сооружения:</w:t>
      </w:r>
    </w:p>
    <w:p w:rsidR="00DB3624" w:rsidRPr="00014FA2" w:rsidRDefault="00DB3624" w:rsidP="00FC5BEB">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294"/>
        <w:gridCol w:w="1708"/>
        <w:gridCol w:w="1708"/>
      </w:tblGrid>
      <w:tr w:rsidR="00DB3624" w:rsidRPr="00D2359A">
        <w:trPr>
          <w:trHeight w:val="227"/>
        </w:trPr>
        <w:tc>
          <w:tcPr>
            <w:tcW w:w="3294" w:type="dxa"/>
          </w:tcPr>
          <w:p w:rsidR="00DB3624" w:rsidRPr="002513D7" w:rsidRDefault="00DB3624">
            <w:pPr>
              <w:pStyle w:val="ConsPlusNonformat"/>
              <w:jc w:val="both"/>
            </w:pPr>
            <w:r w:rsidRPr="002513D7">
              <w:t xml:space="preserve">   Стоимость имущества   </w:t>
            </w:r>
          </w:p>
        </w:tc>
        <w:tc>
          <w:tcPr>
            <w:tcW w:w="3416" w:type="dxa"/>
            <w:gridSpan w:val="2"/>
          </w:tcPr>
          <w:p w:rsidR="00DB3624" w:rsidRPr="002513D7" w:rsidRDefault="00DB3624">
            <w:pPr>
              <w:pStyle w:val="ConsPlusNonformat"/>
              <w:jc w:val="both"/>
            </w:pPr>
            <w:r w:rsidRPr="002513D7">
              <w:t xml:space="preserve">       Ставка налога     </w:t>
            </w:r>
          </w:p>
        </w:tc>
      </w:tr>
      <w:tr w:rsidR="00DB3624" w:rsidRPr="00D2359A">
        <w:trPr>
          <w:trHeight w:val="227"/>
        </w:trPr>
        <w:tc>
          <w:tcPr>
            <w:tcW w:w="3294" w:type="dxa"/>
            <w:tcBorders>
              <w:top w:val="nil"/>
            </w:tcBorders>
          </w:tcPr>
          <w:p w:rsidR="00DB3624" w:rsidRPr="002513D7" w:rsidRDefault="00DB3624">
            <w:pPr>
              <w:pStyle w:val="ConsPlusNonformat"/>
              <w:jc w:val="both"/>
            </w:pPr>
          </w:p>
        </w:tc>
        <w:tc>
          <w:tcPr>
            <w:tcW w:w="1708" w:type="dxa"/>
            <w:tcBorders>
              <w:top w:val="nil"/>
            </w:tcBorders>
          </w:tcPr>
          <w:p w:rsidR="00DB3624" w:rsidRPr="002513D7" w:rsidRDefault="00DB3624">
            <w:pPr>
              <w:pStyle w:val="ConsPlusNonformat"/>
              <w:jc w:val="both"/>
            </w:pPr>
            <w:r w:rsidRPr="002513D7">
              <w:t xml:space="preserve"> Жилые дома </w:t>
            </w:r>
          </w:p>
          <w:p w:rsidR="00DB3624" w:rsidRPr="002513D7" w:rsidRDefault="00DB3624">
            <w:pPr>
              <w:pStyle w:val="ConsPlusNonformat"/>
              <w:jc w:val="both"/>
            </w:pPr>
            <w:r w:rsidRPr="002513D7">
              <w:t xml:space="preserve"> (квартиры) </w:t>
            </w:r>
          </w:p>
        </w:tc>
        <w:tc>
          <w:tcPr>
            <w:tcW w:w="1708" w:type="dxa"/>
            <w:tcBorders>
              <w:top w:val="nil"/>
            </w:tcBorders>
          </w:tcPr>
          <w:p w:rsidR="00DB3624" w:rsidRPr="002513D7" w:rsidRDefault="00DB3624">
            <w:pPr>
              <w:pStyle w:val="ConsPlusNonformat"/>
              <w:jc w:val="both"/>
            </w:pPr>
            <w:r w:rsidRPr="002513D7">
              <w:t xml:space="preserve"> Для прочих </w:t>
            </w:r>
          </w:p>
          <w:p w:rsidR="00DB3624" w:rsidRPr="002513D7" w:rsidRDefault="00DB3624">
            <w:pPr>
              <w:pStyle w:val="ConsPlusNonformat"/>
              <w:jc w:val="both"/>
            </w:pPr>
            <w:r w:rsidRPr="002513D7">
              <w:t xml:space="preserve">  объектов  </w:t>
            </w:r>
          </w:p>
        </w:tc>
      </w:tr>
      <w:tr w:rsidR="00DB3624" w:rsidRPr="00D2359A">
        <w:trPr>
          <w:trHeight w:val="227"/>
        </w:trPr>
        <w:tc>
          <w:tcPr>
            <w:tcW w:w="3294" w:type="dxa"/>
            <w:tcBorders>
              <w:top w:val="nil"/>
            </w:tcBorders>
          </w:tcPr>
          <w:p w:rsidR="00DB3624" w:rsidRPr="002513D7" w:rsidRDefault="00DB3624">
            <w:pPr>
              <w:pStyle w:val="ConsPlusNonformat"/>
              <w:jc w:val="both"/>
            </w:pPr>
            <w:r w:rsidRPr="002513D7">
              <w:t xml:space="preserve">До 300 тыс. рублей       </w:t>
            </w:r>
          </w:p>
        </w:tc>
        <w:tc>
          <w:tcPr>
            <w:tcW w:w="1708" w:type="dxa"/>
            <w:tcBorders>
              <w:top w:val="nil"/>
            </w:tcBorders>
          </w:tcPr>
          <w:p w:rsidR="00DB3624" w:rsidRPr="002513D7" w:rsidRDefault="00DB3624">
            <w:pPr>
              <w:pStyle w:val="ConsPlusNonformat"/>
              <w:jc w:val="both"/>
            </w:pPr>
            <w:r w:rsidRPr="002513D7">
              <w:t>0,1 процента</w:t>
            </w:r>
          </w:p>
        </w:tc>
        <w:tc>
          <w:tcPr>
            <w:tcW w:w="1708" w:type="dxa"/>
            <w:tcBorders>
              <w:top w:val="nil"/>
            </w:tcBorders>
          </w:tcPr>
          <w:p w:rsidR="00DB3624" w:rsidRPr="002513D7" w:rsidRDefault="00DB3624">
            <w:pPr>
              <w:pStyle w:val="ConsPlusNonformat"/>
              <w:jc w:val="both"/>
            </w:pPr>
            <w:r w:rsidRPr="002513D7">
              <w:t>0,1 процента</w:t>
            </w:r>
          </w:p>
        </w:tc>
      </w:tr>
      <w:tr w:rsidR="00DB3624" w:rsidRPr="00D2359A">
        <w:trPr>
          <w:trHeight w:val="227"/>
        </w:trPr>
        <w:tc>
          <w:tcPr>
            <w:tcW w:w="3294" w:type="dxa"/>
            <w:tcBorders>
              <w:top w:val="nil"/>
            </w:tcBorders>
          </w:tcPr>
          <w:p w:rsidR="00DB3624" w:rsidRPr="002513D7" w:rsidRDefault="00DB3624">
            <w:pPr>
              <w:pStyle w:val="ConsPlusNonformat"/>
              <w:jc w:val="both"/>
            </w:pPr>
            <w:r w:rsidRPr="002513D7">
              <w:t>От 300 до 500 тыс. рублей</w:t>
            </w:r>
          </w:p>
        </w:tc>
        <w:tc>
          <w:tcPr>
            <w:tcW w:w="1708" w:type="dxa"/>
            <w:tcBorders>
              <w:top w:val="nil"/>
            </w:tcBorders>
          </w:tcPr>
          <w:p w:rsidR="00DB3624" w:rsidRPr="002513D7" w:rsidRDefault="00DB3624">
            <w:pPr>
              <w:pStyle w:val="ConsPlusNonformat"/>
              <w:jc w:val="both"/>
            </w:pPr>
            <w:r w:rsidRPr="002513D7">
              <w:t>0,1 процента</w:t>
            </w:r>
          </w:p>
        </w:tc>
        <w:tc>
          <w:tcPr>
            <w:tcW w:w="1708" w:type="dxa"/>
            <w:tcBorders>
              <w:top w:val="nil"/>
            </w:tcBorders>
          </w:tcPr>
          <w:p w:rsidR="00DB3624" w:rsidRPr="002513D7" w:rsidRDefault="00DB3624">
            <w:pPr>
              <w:pStyle w:val="ConsPlusNonformat"/>
              <w:jc w:val="both"/>
            </w:pPr>
            <w:r w:rsidRPr="002513D7">
              <w:t>0,3 процента</w:t>
            </w:r>
          </w:p>
        </w:tc>
      </w:tr>
      <w:tr w:rsidR="00DB3624" w:rsidRPr="00D2359A">
        <w:trPr>
          <w:trHeight w:val="227"/>
        </w:trPr>
        <w:tc>
          <w:tcPr>
            <w:tcW w:w="3294" w:type="dxa"/>
            <w:tcBorders>
              <w:top w:val="nil"/>
            </w:tcBorders>
          </w:tcPr>
          <w:p w:rsidR="00DB3624" w:rsidRPr="002513D7" w:rsidRDefault="00DB3624">
            <w:pPr>
              <w:pStyle w:val="ConsPlusNonformat"/>
              <w:jc w:val="both"/>
            </w:pPr>
            <w:r w:rsidRPr="002513D7">
              <w:t xml:space="preserve">Свыше 500 тыс. рублей    </w:t>
            </w:r>
          </w:p>
        </w:tc>
        <w:tc>
          <w:tcPr>
            <w:tcW w:w="1708" w:type="dxa"/>
            <w:tcBorders>
              <w:top w:val="nil"/>
            </w:tcBorders>
          </w:tcPr>
          <w:p w:rsidR="00DB3624" w:rsidRPr="002513D7" w:rsidRDefault="00DB3624">
            <w:pPr>
              <w:pStyle w:val="ConsPlusNonformat"/>
              <w:jc w:val="both"/>
            </w:pPr>
            <w:r w:rsidRPr="002513D7">
              <w:t>0,8 процента</w:t>
            </w:r>
          </w:p>
        </w:tc>
        <w:tc>
          <w:tcPr>
            <w:tcW w:w="1708" w:type="dxa"/>
            <w:tcBorders>
              <w:top w:val="nil"/>
            </w:tcBorders>
          </w:tcPr>
          <w:p w:rsidR="00DB3624" w:rsidRPr="002513D7" w:rsidRDefault="00DB3624">
            <w:pPr>
              <w:pStyle w:val="ConsPlusNonformat"/>
              <w:jc w:val="both"/>
            </w:pPr>
            <w:r w:rsidRPr="002513D7">
              <w:t xml:space="preserve">2 процента  </w:t>
            </w:r>
          </w:p>
        </w:tc>
      </w:tr>
    </w:tbl>
    <w:p w:rsidR="00DB3624" w:rsidRPr="002513D7" w:rsidRDefault="00DB3624">
      <w:pPr>
        <w:pStyle w:val="ConsPlusNormal"/>
        <w:ind w:firstLine="540"/>
        <w:jc w:val="both"/>
      </w:pPr>
    </w:p>
    <w:p w:rsidR="00DB3624" w:rsidRDefault="00DB3624" w:rsidP="0046688D">
      <w:pPr>
        <w:pStyle w:val="ConsPlusNormal"/>
        <w:ind w:firstLine="540"/>
        <w:jc w:val="both"/>
      </w:pPr>
      <w:r>
        <w:t>Критериями дифференциации ставок налога являются тип использования и инвентаризационная стоимость объектов недвижимости.</w:t>
      </w:r>
    </w:p>
    <w:p w:rsidR="00DB3624" w:rsidRDefault="00DB3624" w:rsidP="0046688D">
      <w:pPr>
        <w:pStyle w:val="ConsPlusNormal"/>
        <w:ind w:firstLine="540"/>
        <w:jc w:val="both"/>
      </w:pPr>
      <w:r>
        <w:t>(в ред. решения Кунгурской городской Думы от 19.12.2006 N 397)</w:t>
      </w:r>
    </w:p>
    <w:p w:rsidR="00DB3624" w:rsidRDefault="00DB3624" w:rsidP="0046688D">
      <w:pPr>
        <w:pStyle w:val="ConsPlusNormal"/>
        <w:ind w:firstLine="540"/>
        <w:jc w:val="both"/>
      </w:pPr>
      <w:r>
        <w:t>Налог исчисляется с суммарной инвентаризационной стоимости каждого типа объектов в пределах максимальной стоимости по каждому типу объектов.</w:t>
      </w:r>
    </w:p>
    <w:p w:rsidR="00DB3624" w:rsidRDefault="00DB3624" w:rsidP="0046688D">
      <w:pPr>
        <w:pStyle w:val="ConsPlusNormal"/>
        <w:ind w:firstLine="540"/>
        <w:jc w:val="both"/>
      </w:pPr>
      <w:r>
        <w:t>(в ред. решения Кунгурской городской Думы от 19.12.2006 N 397)</w:t>
      </w:r>
    </w:p>
    <w:p w:rsidR="00DB3624" w:rsidRDefault="00DB3624" w:rsidP="0046688D">
      <w:pPr>
        <w:pStyle w:val="ConsPlusNormal"/>
        <w:ind w:firstLine="540"/>
        <w:jc w:val="both"/>
      </w:pPr>
    </w:p>
    <w:p w:rsidR="00DB3624" w:rsidRDefault="00DB3624" w:rsidP="0046688D">
      <w:pPr>
        <w:pStyle w:val="ConsPlusNormal"/>
        <w:ind w:firstLine="540"/>
        <w:jc w:val="both"/>
      </w:pPr>
      <w:r>
        <w:t>6.4. Порядок исчисления налога</w:t>
      </w:r>
    </w:p>
    <w:p w:rsidR="00DB3624" w:rsidRDefault="00DB3624" w:rsidP="0046688D">
      <w:pPr>
        <w:pStyle w:val="ConsPlusNormal"/>
        <w:ind w:firstLine="540"/>
        <w:jc w:val="both"/>
      </w:pPr>
    </w:p>
    <w:p w:rsidR="00DB3624" w:rsidRDefault="00DB3624" w:rsidP="0046688D">
      <w:pPr>
        <w:pStyle w:val="ConsPlusNormal"/>
        <w:ind w:firstLine="540"/>
        <w:jc w:val="both"/>
      </w:pPr>
      <w:r>
        <w:t>Налоги на имущество физических лиц, находящееся на территории муниципального образования г. Кунгур, зачисляются в местный (городской) бюджет".</w:t>
      </w:r>
    </w:p>
    <w:p w:rsidR="00DB3624" w:rsidRDefault="00DB3624" w:rsidP="0046688D">
      <w:pPr>
        <w:pStyle w:val="ConsPlusNormal"/>
        <w:ind w:firstLine="540"/>
        <w:jc w:val="both"/>
      </w:pPr>
      <w:r>
        <w:t>1.6. Главу 9 "Земельный налог" считать главой 7 и изложить в следующей редакции:</w:t>
      </w:r>
    </w:p>
    <w:p w:rsidR="00DB3624" w:rsidRDefault="00DB3624" w:rsidP="0046688D">
      <w:pPr>
        <w:pStyle w:val="ConsPlusNormal"/>
        <w:ind w:firstLine="540"/>
        <w:jc w:val="both"/>
      </w:pPr>
      <w:r>
        <w:t>"7.1. Общие положения</w:t>
      </w:r>
    </w:p>
    <w:p w:rsidR="00DB3624" w:rsidRDefault="00DB3624" w:rsidP="0046688D">
      <w:pPr>
        <w:pStyle w:val="ConsPlusNormal"/>
        <w:ind w:firstLine="540"/>
        <w:jc w:val="both"/>
      </w:pPr>
    </w:p>
    <w:p w:rsidR="00DB3624" w:rsidRDefault="00DB3624" w:rsidP="0046688D">
      <w:pPr>
        <w:pStyle w:val="ConsPlusNormal"/>
        <w:ind w:firstLine="540"/>
        <w:jc w:val="both"/>
      </w:pPr>
      <w:r>
        <w:t>Настоящее Положение в соответствии с главой 31 "Земельный налог" Налогового кодекса Российской Федерации (далее - НК РФ) определяет порядок исчисления и уплаты земельного налога, а также порядок и сроки представления налогоплательщиками документов, подтверждающих право на уменьшение налоговой базы, на территории г. Кунгура.</w:t>
      </w:r>
    </w:p>
    <w:p w:rsidR="00DB3624" w:rsidRDefault="00DB3624" w:rsidP="0046688D">
      <w:pPr>
        <w:pStyle w:val="ConsPlusNormal"/>
        <w:ind w:firstLine="540"/>
        <w:jc w:val="both"/>
      </w:pPr>
    </w:p>
    <w:p w:rsidR="00DB3624" w:rsidRDefault="00DB3624" w:rsidP="0046688D">
      <w:pPr>
        <w:pStyle w:val="ConsPlusNormal"/>
        <w:ind w:firstLine="540"/>
        <w:jc w:val="both"/>
      </w:pPr>
      <w:r>
        <w:t>7.2. Налоговые ставки</w:t>
      </w:r>
    </w:p>
    <w:p w:rsidR="00DB3624" w:rsidRDefault="00DB3624" w:rsidP="0046688D">
      <w:pPr>
        <w:pStyle w:val="ConsPlusNormal"/>
        <w:ind w:firstLine="540"/>
        <w:jc w:val="both"/>
      </w:pPr>
    </w:p>
    <w:p w:rsidR="00DB3624" w:rsidRDefault="00DB3624" w:rsidP="0046688D">
      <w:pPr>
        <w:pStyle w:val="ConsPlusNormal"/>
        <w:ind w:firstLine="540"/>
        <w:jc w:val="both"/>
      </w:pPr>
      <w:r>
        <w:t>Налоговые ставки устанавливаются в следующих размерах:</w:t>
      </w:r>
    </w:p>
    <w:p w:rsidR="00DB3624" w:rsidRDefault="00DB3624" w:rsidP="0046688D">
      <w:pPr>
        <w:pStyle w:val="ConsPlusNormal"/>
        <w:ind w:firstLine="540"/>
        <w:jc w:val="both"/>
      </w:pPr>
      <w:r>
        <w:t>0,3 процента в отношении земельных участков:</w:t>
      </w:r>
    </w:p>
    <w:p w:rsidR="00DB3624" w:rsidRDefault="00DB3624" w:rsidP="0046688D">
      <w:pPr>
        <w:pStyle w:val="ConsPlusNormal"/>
        <w:ind w:firstLine="540"/>
        <w:jc w:val="both"/>
      </w:pPr>
      <w: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w:t>
      </w:r>
    </w:p>
    <w:p w:rsidR="00DB3624" w:rsidRDefault="00DB3624" w:rsidP="0046688D">
      <w:pPr>
        <w:pStyle w:val="ConsPlusNormal"/>
        <w:ind w:firstLine="540"/>
        <w:jc w:val="both"/>
      </w:pPr>
      <w:r>
        <w:t>предоставленных для жилищного строительства; предоставленных физическим лицам или приобретенных физическими лицами для индивидуального жилищного строительства (на первые 5 лет);</w:t>
      </w:r>
    </w:p>
    <w:p w:rsidR="00DB3624" w:rsidRDefault="00DB3624" w:rsidP="0046688D">
      <w:pPr>
        <w:pStyle w:val="ConsPlusNormal"/>
        <w:ind w:firstLine="540"/>
        <w:jc w:val="both"/>
      </w:pPr>
      <w:r>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DB3624" w:rsidRDefault="00DB3624" w:rsidP="0046688D">
      <w:pPr>
        <w:pStyle w:val="ConsPlusNormal"/>
        <w:ind w:firstLine="540"/>
        <w:jc w:val="both"/>
      </w:pPr>
      <w:r>
        <w:t>предоставленных или приобретенных для личного подсобного хозяйства, садоводства, огородничества или животноводства, индивидуальных гаражей и хозяйственных построек.</w:t>
      </w:r>
    </w:p>
    <w:p w:rsidR="00DB3624" w:rsidRDefault="00DB3624" w:rsidP="0046688D">
      <w:pPr>
        <w:pStyle w:val="ConsPlusNormal"/>
        <w:ind w:firstLine="540"/>
        <w:jc w:val="both"/>
      </w:pPr>
      <w:r>
        <w:t>1,5 процента в отношении прочих земельных участков.</w:t>
      </w:r>
    </w:p>
    <w:p w:rsidR="00DB3624" w:rsidRDefault="00DB3624" w:rsidP="0046688D">
      <w:pPr>
        <w:pStyle w:val="ConsPlusNormal"/>
        <w:ind w:firstLine="540"/>
        <w:jc w:val="both"/>
      </w:pPr>
    </w:p>
    <w:p w:rsidR="00DB3624" w:rsidRDefault="00DB3624" w:rsidP="0046688D">
      <w:pPr>
        <w:pStyle w:val="ConsPlusNormal"/>
        <w:ind w:firstLine="540"/>
        <w:jc w:val="both"/>
      </w:pPr>
      <w:r>
        <w:t>7.3. Льготы</w:t>
      </w:r>
    </w:p>
    <w:p w:rsidR="00DB3624" w:rsidRDefault="00DB3624" w:rsidP="0046688D">
      <w:pPr>
        <w:pStyle w:val="ConsPlusNormal"/>
        <w:ind w:firstLine="540"/>
        <w:jc w:val="both"/>
      </w:pPr>
    </w:p>
    <w:p w:rsidR="00DB3624" w:rsidRDefault="00DB3624" w:rsidP="0046688D">
      <w:pPr>
        <w:pStyle w:val="ConsPlusNormal"/>
        <w:ind w:firstLine="540"/>
        <w:jc w:val="both"/>
      </w:pPr>
      <w:r>
        <w:t>Предоставить льготу в размере 50% по уплате земельного налога в виде понижения ставки земельного налога в отношении категорий собственников для ведения личного подсобного хозяйства, подлежащей зачислению в доход бюджета муниципального образования город Кунгур.</w:t>
      </w:r>
    </w:p>
    <w:p w:rsidR="00DB3624" w:rsidRDefault="00DB3624" w:rsidP="0046688D">
      <w:pPr>
        <w:pStyle w:val="ConsPlusNormal"/>
        <w:ind w:firstLine="540"/>
        <w:jc w:val="both"/>
      </w:pPr>
    </w:p>
    <w:p w:rsidR="00DB3624" w:rsidRDefault="00DB3624" w:rsidP="0046688D">
      <w:pPr>
        <w:pStyle w:val="ConsPlusNormal"/>
        <w:ind w:firstLine="540"/>
        <w:jc w:val="both"/>
      </w:pPr>
      <w:r>
        <w:t>7.4. Порядок и сроки уплаты налога</w:t>
      </w:r>
    </w:p>
    <w:p w:rsidR="00DB3624" w:rsidRDefault="00DB3624" w:rsidP="0046688D">
      <w:pPr>
        <w:pStyle w:val="ConsPlusNormal"/>
        <w:ind w:firstLine="540"/>
        <w:jc w:val="both"/>
      </w:pPr>
    </w:p>
    <w:p w:rsidR="00DB3624" w:rsidRDefault="00DB3624" w:rsidP="0046688D">
      <w:pPr>
        <w:pStyle w:val="ConsPlusNormal"/>
        <w:ind w:firstLine="540"/>
        <w:jc w:val="both"/>
      </w:pPr>
      <w:r>
        <w:t>7.4.1. Для налогоплательщиков - организаций и физических лиц, являющихся индивидуальными предпринимателями, определить отчетный период - первый квартал, полугодие и девять месяцев календарного года.</w:t>
      </w:r>
    </w:p>
    <w:p w:rsidR="00DB3624" w:rsidRDefault="00DB3624" w:rsidP="0046688D">
      <w:pPr>
        <w:pStyle w:val="ConsPlusNormal"/>
        <w:ind w:firstLine="540"/>
        <w:jc w:val="both"/>
      </w:pPr>
      <w:r>
        <w:t>7.4.2. Налогоплательщики - организации и физические лица, являющиеся индивидуальными предпринимателями, исчисляют суммы авансовых платежей по налогу по истечении первого, второго и третьего кварталов текущего налогового периода как одну четвертую соответствующей налоговой ставки процентной доли от кадастровой стоимости земельного участка по состоянию на 1 января года, являющегося налоговым периодом.</w:t>
      </w:r>
    </w:p>
    <w:p w:rsidR="00DB3624" w:rsidRDefault="00DB3624" w:rsidP="0046688D">
      <w:pPr>
        <w:pStyle w:val="ConsPlusNormal"/>
        <w:ind w:firstLine="540"/>
        <w:jc w:val="both"/>
      </w:pPr>
      <w:r>
        <w:t>7.4.3. Налогоплательщики - организации и физические лица, являющиеся индивидуальными предпринимателями, уплачивают авансовые платежи по налогу не позднее последнего числа месяца, следующего за истекшим отчетным периодом.</w:t>
      </w:r>
    </w:p>
    <w:p w:rsidR="00DB3624" w:rsidRDefault="00DB3624" w:rsidP="0046688D">
      <w:pPr>
        <w:pStyle w:val="ConsPlusNormal"/>
        <w:ind w:firstLine="540"/>
        <w:jc w:val="both"/>
      </w:pPr>
      <w:r>
        <w:t>7.4.4. Налогоплательщики - физические лица, не являющиеся индивидуальными предпринимателями, уплачивают авансовые платежи по налогу по сроку 15 сентября в размере одной второй части земельного налога.</w:t>
      </w:r>
    </w:p>
    <w:p w:rsidR="00DB3624" w:rsidRDefault="00DB3624" w:rsidP="0046688D">
      <w:pPr>
        <w:pStyle w:val="ConsPlusNormal"/>
        <w:ind w:firstLine="540"/>
        <w:jc w:val="both"/>
      </w:pPr>
      <w:r>
        <w:t>7.4.5. Налог, подлежащий уплате по истечении налогового периода, уплачивается налогоплательщиками не позднее 1 февраля года, следующего за истекшим налоговым периодом.</w:t>
      </w:r>
    </w:p>
    <w:p w:rsidR="00DB3624" w:rsidRDefault="00DB3624" w:rsidP="0046688D">
      <w:pPr>
        <w:pStyle w:val="ConsPlusNormal"/>
        <w:ind w:firstLine="540"/>
        <w:jc w:val="both"/>
      </w:pPr>
      <w:r>
        <w:t>7.4.6. Налогоплательщики, своевременно не привлеченные к уплате земельного налога, уплачивают этот налог не более чем за три предшествующих года.</w:t>
      </w:r>
    </w:p>
    <w:p w:rsidR="00DB3624" w:rsidRDefault="00DB3624" w:rsidP="0046688D">
      <w:pPr>
        <w:pStyle w:val="ConsPlusNormal"/>
        <w:ind w:firstLine="540"/>
        <w:jc w:val="both"/>
      </w:pPr>
      <w:r>
        <w:t>Пересмотр неправильно произведенного налогообложения допускается также не более чем за три предшествующих года.</w:t>
      </w:r>
    </w:p>
    <w:p w:rsidR="00DB3624" w:rsidRDefault="00DB3624" w:rsidP="0046688D">
      <w:pPr>
        <w:pStyle w:val="ConsPlusNormal"/>
        <w:ind w:firstLine="540"/>
        <w:jc w:val="both"/>
      </w:pPr>
    </w:p>
    <w:p w:rsidR="00DB3624" w:rsidRDefault="00DB3624" w:rsidP="0046688D">
      <w:pPr>
        <w:pStyle w:val="ConsPlusNormal"/>
        <w:ind w:firstLine="540"/>
        <w:jc w:val="both"/>
      </w:pPr>
      <w:r>
        <w:t>7.5. Порядок и сроки представления налогоплательщиками документов, подтверждающих право на уменьшение налоговой базы</w:t>
      </w:r>
    </w:p>
    <w:p w:rsidR="00DB3624" w:rsidRDefault="00DB3624" w:rsidP="0046688D">
      <w:pPr>
        <w:pStyle w:val="ConsPlusNormal"/>
        <w:ind w:firstLine="540"/>
        <w:jc w:val="both"/>
      </w:pPr>
    </w:p>
    <w:p w:rsidR="00DB3624" w:rsidRDefault="00DB3624" w:rsidP="0046688D">
      <w:pPr>
        <w:pStyle w:val="ConsPlusNormal"/>
        <w:ind w:firstLine="540"/>
        <w:jc w:val="both"/>
      </w:pPr>
      <w:r>
        <w:t>7.5.1. Документы, подтверждающие право на уменьшение налоговой базы в соответствии с пунктом 5 статьи 391 НК РФ, представляются в налоговый орган по месту нахождения земельного участка:</w:t>
      </w:r>
    </w:p>
    <w:p w:rsidR="00DB3624" w:rsidRDefault="00DB3624" w:rsidP="0046688D">
      <w:pPr>
        <w:pStyle w:val="ConsPlusNormal"/>
        <w:ind w:firstLine="540"/>
        <w:jc w:val="both"/>
      </w:pPr>
      <w:r>
        <w:t>налогоплательщиками - физическими лицами, не являющимися индивидуальными предпринимателями, - в срок до 1 октября года текущего налогового периода. В случае возникновения (утраты) до окончания налогового периода права на уменьшение налоговой базы налогоплательщиками представляются документы, подтверждающие возникновение (утрату) данного права, в течение 10 дней со дня его возникновения (утраты).</w:t>
      </w:r>
    </w:p>
    <w:p w:rsidR="00DB3624" w:rsidRDefault="00DB3624" w:rsidP="0046688D">
      <w:pPr>
        <w:pStyle w:val="ConsPlusNormal"/>
        <w:ind w:firstLine="540"/>
        <w:jc w:val="both"/>
      </w:pPr>
      <w:r>
        <w:t>7.5.2. Допускается уменьшение налоговой базы за истекшие налоговые периоды, но не более чем за три года, подтверждающие право на уменьшение налоговой базы".</w:t>
      </w:r>
    </w:p>
    <w:p w:rsidR="00DB3624" w:rsidRDefault="00DB3624" w:rsidP="0046688D">
      <w:pPr>
        <w:pStyle w:val="ConsPlusNormal"/>
        <w:ind w:firstLine="540"/>
        <w:jc w:val="both"/>
      </w:pPr>
      <w:r>
        <w:t>1.7. Ввести главу 8 "Система налогообложения в виде единого налога на вмененный доход для отдельных видов деятельности" следующего содержания:</w:t>
      </w:r>
    </w:p>
    <w:p w:rsidR="00DB3624" w:rsidRDefault="00DB3624" w:rsidP="0046688D">
      <w:pPr>
        <w:pStyle w:val="ConsPlusNormal"/>
        <w:ind w:firstLine="540"/>
        <w:jc w:val="both"/>
      </w:pPr>
      <w:r>
        <w:t>"8.1. Общие положения</w:t>
      </w:r>
    </w:p>
    <w:p w:rsidR="00DB3624" w:rsidRDefault="00DB3624" w:rsidP="0046688D">
      <w:pPr>
        <w:pStyle w:val="ConsPlusNormal"/>
        <w:ind w:firstLine="540"/>
        <w:jc w:val="both"/>
      </w:pPr>
    </w:p>
    <w:p w:rsidR="00DB3624" w:rsidRDefault="00DB3624" w:rsidP="0046688D">
      <w:pPr>
        <w:pStyle w:val="ConsPlusNormal"/>
        <w:ind w:firstLine="540"/>
        <w:jc w:val="both"/>
      </w:pPr>
      <w:r>
        <w:t>Система налогообложения в виде единого налога на вмененный доход для отдельных видов деятельности на территории г. Кунгура применяется в соответствии с Налоговым кодексом Российской Федерации и настоящим Положением.</w:t>
      </w:r>
    </w:p>
    <w:p w:rsidR="00DB3624" w:rsidRDefault="00DB3624" w:rsidP="0046688D">
      <w:pPr>
        <w:pStyle w:val="ConsPlusNormal"/>
        <w:ind w:firstLine="540"/>
        <w:jc w:val="both"/>
      </w:pPr>
    </w:p>
    <w:p w:rsidR="00DB3624" w:rsidRDefault="00DB3624" w:rsidP="0046688D">
      <w:pPr>
        <w:pStyle w:val="ConsPlusNormal"/>
        <w:ind w:firstLine="540"/>
        <w:jc w:val="both"/>
      </w:pPr>
      <w:r>
        <w:t>8.2. Виды предпринимательской деятельности, в отношении которых вводится единый налог</w:t>
      </w:r>
    </w:p>
    <w:p w:rsidR="00DB3624" w:rsidRDefault="00DB3624" w:rsidP="0046688D">
      <w:pPr>
        <w:pStyle w:val="ConsPlusNormal"/>
        <w:ind w:firstLine="540"/>
        <w:jc w:val="both"/>
      </w:pPr>
    </w:p>
    <w:p w:rsidR="00DB3624" w:rsidRDefault="00DB3624" w:rsidP="0046688D">
      <w:pPr>
        <w:pStyle w:val="ConsPlusNormal"/>
        <w:ind w:firstLine="540"/>
        <w:jc w:val="both"/>
      </w:pPr>
      <w:r>
        <w:t>Система налогообложения в виде единого налога на вмененный доход для отдельных видов деятельности вводится в отношении следующих видов предпринимательской деятельности:</w:t>
      </w:r>
    </w:p>
    <w:p w:rsidR="00DB3624" w:rsidRDefault="00DB3624" w:rsidP="0046688D">
      <w:pPr>
        <w:pStyle w:val="ConsPlusNormal"/>
        <w:ind w:firstLine="540"/>
        <w:jc w:val="both"/>
      </w:pPr>
      <w:r>
        <w:t>1) розничной торговли, осуществляемой через магазины и павильоны с площадью торгового зала по каждому объекту организации торговли не более 150 квадратных метров, киоски, палатки, лотки и другие объекты стационарной торговой сети, не имеющей торговых залов, а также объекты нестационарной торговой сети;</w:t>
      </w:r>
    </w:p>
    <w:p w:rsidR="00DB3624" w:rsidRDefault="00DB3624" w:rsidP="0046688D">
      <w:pPr>
        <w:pStyle w:val="ConsPlusNormal"/>
        <w:ind w:firstLine="540"/>
        <w:jc w:val="both"/>
      </w:pPr>
      <w:r>
        <w:t>2) оказания услуг общественного питания, осуществляемых при использовании зала площадью не более 150 квадратных метров;</w:t>
      </w:r>
    </w:p>
    <w:p w:rsidR="00DB3624" w:rsidRDefault="00DB3624" w:rsidP="0046688D">
      <w:pPr>
        <w:pStyle w:val="ConsPlusNormal"/>
        <w:ind w:firstLine="540"/>
        <w:jc w:val="both"/>
      </w:pPr>
      <w:r>
        <w:t>3)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DB3624" w:rsidRDefault="00DB3624" w:rsidP="0046688D">
      <w:pPr>
        <w:pStyle w:val="ConsPlusNormal"/>
        <w:ind w:firstLine="540"/>
        <w:jc w:val="both"/>
      </w:pPr>
      <w:r>
        <w:t>4)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DB3624" w:rsidRDefault="00DB3624" w:rsidP="0046688D">
      <w:pPr>
        <w:pStyle w:val="ConsPlusNormal"/>
        <w:ind w:firstLine="540"/>
        <w:jc w:val="both"/>
      </w:pPr>
      <w:r>
        <w:t>5) оказания услуг по ремонту, техническому обслуживанию и мойке автотранспортных средств;</w:t>
      </w:r>
    </w:p>
    <w:p w:rsidR="00DB3624" w:rsidRDefault="00DB3624" w:rsidP="0046688D">
      <w:pPr>
        <w:pStyle w:val="ConsPlusNormal"/>
        <w:ind w:firstLine="540"/>
        <w:jc w:val="both"/>
      </w:pPr>
      <w:r>
        <w:t>6) оказания услуг по хранению автотранспортных средств на платных стоянках;</w:t>
      </w:r>
    </w:p>
    <w:p w:rsidR="00DB3624" w:rsidRDefault="00DB3624" w:rsidP="0046688D">
      <w:pPr>
        <w:pStyle w:val="ConsPlusNormal"/>
        <w:ind w:firstLine="540"/>
        <w:jc w:val="both"/>
      </w:pPr>
      <w:r>
        <w:t>7) оказания бытовых услуг: ремонт, окраска и пошив обуви; ремонт и пошив швейных, меховых и кожаных изделий, головных уборов и изделий текстильной галантереи, ремонт, пошив и вязание трикотажных изделий; ремонт и техническое обслуживание бытовой радиоэлектронной аппаратуры, бытовых машин и бытовых приборов, ремонт и изготовление металлоизделий; изготовление и ремонт мебели; химическая чистка и крашение, услуги прачечных; ремонт и строительство жилья и других построек; услуги фотоателье и фото- и кинолабораторий; услуги бань и душевых, парикмахерских, услуги предприятий по прокату; ритуальные, обрядовые услуги; прочие услуги непроизводственного характера (за исключением услуг ломбардов);</w:t>
      </w:r>
    </w:p>
    <w:p w:rsidR="00DB3624" w:rsidRDefault="00DB3624" w:rsidP="0046688D">
      <w:pPr>
        <w:pStyle w:val="ConsPlusNormal"/>
        <w:ind w:firstLine="540"/>
        <w:jc w:val="both"/>
      </w:pPr>
      <w:r>
        <w:t>8) оказания ветеринарных услуг;</w:t>
      </w:r>
    </w:p>
    <w:p w:rsidR="00DB3624" w:rsidRDefault="00DB3624" w:rsidP="0046688D">
      <w:pPr>
        <w:pStyle w:val="ConsPlusNormal"/>
        <w:ind w:firstLine="540"/>
        <w:jc w:val="both"/>
      </w:pPr>
      <w:r>
        <w:t>9) распространения и (или) размещения наружной рекламы;</w:t>
      </w:r>
    </w:p>
    <w:p w:rsidR="00DB3624" w:rsidRDefault="00DB3624" w:rsidP="0046688D">
      <w:pPr>
        <w:pStyle w:val="ConsPlusNormal"/>
        <w:ind w:firstLine="540"/>
        <w:jc w:val="both"/>
      </w:pPr>
      <w:r>
        <w:t>10) распространения и (или) размещения рекламы на автобусах любых типов, легковых и грузовых автомобилях, прицепах, полуприцепах и прицепах-роспусках;</w:t>
      </w:r>
    </w:p>
    <w:p w:rsidR="00DB3624" w:rsidRDefault="00DB3624" w:rsidP="0046688D">
      <w:pPr>
        <w:pStyle w:val="ConsPlusNormal"/>
        <w:ind w:firstLine="540"/>
        <w:jc w:val="both"/>
      </w:pPr>
      <w:r>
        <w:t>11)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спальных помещений не более 500 квадратных метров;</w:t>
      </w:r>
    </w:p>
    <w:p w:rsidR="00DB3624" w:rsidRDefault="00DB3624" w:rsidP="0046688D">
      <w:pPr>
        <w:pStyle w:val="ConsPlusNormal"/>
        <w:ind w:firstLine="540"/>
        <w:jc w:val="both"/>
      </w:pPr>
      <w:r>
        <w:t>12) оказания услуг по передаче во временное владение и (или) пользование стационарных торговых мест, расположенных на рынках и в других местах торговли, не имеющих залов обслуживания посетителей.</w:t>
      </w:r>
    </w:p>
    <w:p w:rsidR="00DB3624" w:rsidRDefault="00DB3624" w:rsidP="0046688D">
      <w:pPr>
        <w:pStyle w:val="ConsPlusNormal"/>
        <w:ind w:firstLine="540"/>
        <w:jc w:val="both"/>
      </w:pPr>
    </w:p>
    <w:p w:rsidR="00DB3624" w:rsidRDefault="00DB3624" w:rsidP="0046688D">
      <w:pPr>
        <w:pStyle w:val="ConsPlusNormal"/>
        <w:ind w:firstLine="540"/>
        <w:jc w:val="both"/>
      </w:pPr>
      <w:r>
        <w:t>8.3. Значения корректирующего коэффициента базовой доходности К2</w:t>
      </w:r>
    </w:p>
    <w:p w:rsidR="00DB3624" w:rsidRDefault="00DB3624" w:rsidP="0046688D">
      <w:pPr>
        <w:pStyle w:val="ConsPlusNormal"/>
        <w:ind w:firstLine="540"/>
        <w:jc w:val="both"/>
      </w:pPr>
    </w:p>
    <w:p w:rsidR="00DB3624" w:rsidRPr="00014FA2" w:rsidRDefault="00DB3624" w:rsidP="0046688D">
      <w:pPr>
        <w:pStyle w:val="ConsPlusNormal"/>
        <w:ind w:firstLine="540"/>
        <w:jc w:val="both"/>
      </w:pPr>
      <w:r>
        <w:t>8.3.1. Таблица значений корректирующего коэффициента К2 в отношении розничной торговли, осуществляемой через объекты стационарной сети</w:t>
      </w:r>
    </w:p>
    <w:p w:rsidR="00DB3624" w:rsidRPr="00014FA2" w:rsidRDefault="00DB3624" w:rsidP="0046688D">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806"/>
        <w:gridCol w:w="732"/>
        <w:gridCol w:w="732"/>
        <w:gridCol w:w="854"/>
        <w:gridCol w:w="854"/>
        <w:gridCol w:w="854"/>
        <w:gridCol w:w="854"/>
        <w:gridCol w:w="854"/>
      </w:tblGrid>
      <w:tr w:rsidR="00DB3624" w:rsidRPr="00D2359A">
        <w:trPr>
          <w:trHeight w:val="227"/>
        </w:trPr>
        <w:tc>
          <w:tcPr>
            <w:tcW w:w="2806" w:type="dxa"/>
            <w:vMerge w:val="restart"/>
          </w:tcPr>
          <w:p w:rsidR="00DB3624" w:rsidRPr="002513D7" w:rsidRDefault="00DB3624">
            <w:pPr>
              <w:pStyle w:val="ConsPlusNonformat"/>
              <w:jc w:val="both"/>
            </w:pPr>
            <w:r w:rsidRPr="002513D7">
              <w:t xml:space="preserve">     Показатели      </w:t>
            </w:r>
          </w:p>
        </w:tc>
        <w:tc>
          <w:tcPr>
            <w:tcW w:w="5734" w:type="dxa"/>
            <w:gridSpan w:val="7"/>
          </w:tcPr>
          <w:p w:rsidR="00DB3624" w:rsidRPr="002513D7" w:rsidRDefault="00DB3624">
            <w:pPr>
              <w:pStyle w:val="ConsPlusNonformat"/>
              <w:jc w:val="both"/>
            </w:pPr>
            <w:r w:rsidRPr="002513D7">
              <w:t xml:space="preserve">Величина дохода за налоговый период на </w:t>
            </w:r>
          </w:p>
          <w:p w:rsidR="00DB3624" w:rsidRPr="002513D7" w:rsidRDefault="00DB3624">
            <w:pPr>
              <w:pStyle w:val="ConsPlusNonformat"/>
              <w:jc w:val="both"/>
            </w:pPr>
            <w:r w:rsidRPr="002513D7">
              <w:t xml:space="preserve">           1 кв. м, рублей             </w:t>
            </w:r>
          </w:p>
        </w:tc>
      </w:tr>
      <w:tr w:rsidR="00DB3624" w:rsidRPr="00D2359A">
        <w:tc>
          <w:tcPr>
            <w:tcW w:w="2684" w:type="dxa"/>
            <w:vMerge/>
            <w:tcBorders>
              <w:top w:val="nil"/>
            </w:tcBorders>
          </w:tcPr>
          <w:p w:rsidR="00DB3624" w:rsidRPr="00D2359A" w:rsidRDefault="00DB3624"/>
        </w:tc>
        <w:tc>
          <w:tcPr>
            <w:tcW w:w="732" w:type="dxa"/>
            <w:tcBorders>
              <w:top w:val="nil"/>
            </w:tcBorders>
          </w:tcPr>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5100</w:t>
            </w:r>
          </w:p>
          <w:p w:rsidR="00DB3624" w:rsidRPr="002513D7" w:rsidRDefault="00DB3624">
            <w:pPr>
              <w:pStyle w:val="ConsPlusNonformat"/>
              <w:jc w:val="both"/>
            </w:pPr>
            <w:r w:rsidRPr="002513D7">
              <w:t>вкл.</w:t>
            </w:r>
          </w:p>
        </w:tc>
        <w:tc>
          <w:tcPr>
            <w:tcW w:w="732"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5100</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7500</w:t>
            </w:r>
          </w:p>
          <w:p w:rsidR="00DB3624" w:rsidRPr="002513D7" w:rsidRDefault="00DB3624">
            <w:pPr>
              <w:pStyle w:val="ConsPlusNonformat"/>
              <w:jc w:val="both"/>
            </w:pPr>
            <w:r w:rsidRPr="002513D7">
              <w:t>вкл.</w:t>
            </w:r>
          </w:p>
        </w:tc>
        <w:tc>
          <w:tcPr>
            <w:tcW w:w="854"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 xml:space="preserve">7500 </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10000</w:t>
            </w:r>
          </w:p>
          <w:p w:rsidR="00DB3624" w:rsidRPr="002513D7" w:rsidRDefault="00DB3624">
            <w:pPr>
              <w:pStyle w:val="ConsPlusNonformat"/>
              <w:jc w:val="both"/>
            </w:pPr>
            <w:r w:rsidRPr="002513D7">
              <w:t xml:space="preserve">вкл. </w:t>
            </w:r>
          </w:p>
        </w:tc>
        <w:tc>
          <w:tcPr>
            <w:tcW w:w="854"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10000</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15000</w:t>
            </w:r>
          </w:p>
          <w:p w:rsidR="00DB3624" w:rsidRPr="002513D7" w:rsidRDefault="00DB3624">
            <w:pPr>
              <w:pStyle w:val="ConsPlusNonformat"/>
              <w:jc w:val="both"/>
            </w:pPr>
            <w:r w:rsidRPr="002513D7">
              <w:t xml:space="preserve">вкл. </w:t>
            </w:r>
          </w:p>
        </w:tc>
        <w:tc>
          <w:tcPr>
            <w:tcW w:w="854"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15000</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22500</w:t>
            </w:r>
          </w:p>
          <w:p w:rsidR="00DB3624" w:rsidRPr="002513D7" w:rsidRDefault="00DB3624">
            <w:pPr>
              <w:pStyle w:val="ConsPlusNonformat"/>
              <w:jc w:val="both"/>
            </w:pPr>
            <w:r w:rsidRPr="002513D7">
              <w:t xml:space="preserve">вкл. </w:t>
            </w:r>
          </w:p>
        </w:tc>
        <w:tc>
          <w:tcPr>
            <w:tcW w:w="854"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22500</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30000</w:t>
            </w:r>
          </w:p>
          <w:p w:rsidR="00DB3624" w:rsidRPr="002513D7" w:rsidRDefault="00DB3624">
            <w:pPr>
              <w:pStyle w:val="ConsPlusNonformat"/>
              <w:jc w:val="both"/>
            </w:pPr>
            <w:r w:rsidRPr="002513D7">
              <w:t xml:space="preserve">вкл. </w:t>
            </w:r>
          </w:p>
        </w:tc>
        <w:tc>
          <w:tcPr>
            <w:tcW w:w="854" w:type="dxa"/>
            <w:tcBorders>
              <w:top w:val="nil"/>
            </w:tcBorders>
          </w:tcPr>
          <w:p w:rsidR="00DB3624" w:rsidRPr="002513D7" w:rsidRDefault="00DB3624">
            <w:pPr>
              <w:pStyle w:val="ConsPlusNonformat"/>
              <w:jc w:val="both"/>
            </w:pPr>
            <w:r w:rsidRPr="002513D7">
              <w:t>Свыше</w:t>
            </w:r>
          </w:p>
          <w:p w:rsidR="00DB3624" w:rsidRPr="002513D7" w:rsidRDefault="00DB3624">
            <w:pPr>
              <w:pStyle w:val="ConsPlusNonformat"/>
              <w:jc w:val="both"/>
            </w:pPr>
            <w:r w:rsidRPr="002513D7">
              <w:t>30000</w:t>
            </w:r>
          </w:p>
        </w:tc>
      </w:tr>
      <w:tr w:rsidR="00DB3624" w:rsidRPr="00D2359A">
        <w:tc>
          <w:tcPr>
            <w:tcW w:w="2684" w:type="dxa"/>
            <w:vMerge/>
            <w:tcBorders>
              <w:top w:val="nil"/>
            </w:tcBorders>
          </w:tcPr>
          <w:p w:rsidR="00DB3624" w:rsidRPr="00D2359A" w:rsidRDefault="00DB3624"/>
        </w:tc>
        <w:tc>
          <w:tcPr>
            <w:tcW w:w="5734" w:type="dxa"/>
            <w:gridSpan w:val="7"/>
            <w:tcBorders>
              <w:top w:val="nil"/>
            </w:tcBorders>
          </w:tcPr>
          <w:p w:rsidR="00DB3624" w:rsidRPr="002513D7" w:rsidRDefault="00DB3624">
            <w:pPr>
              <w:pStyle w:val="ConsPlusNonformat"/>
              <w:jc w:val="both"/>
            </w:pPr>
            <w:r w:rsidRPr="002513D7">
              <w:t xml:space="preserve"> Величина дохода за месяц на 1 кв. м,  </w:t>
            </w:r>
          </w:p>
          <w:p w:rsidR="00DB3624" w:rsidRPr="002513D7" w:rsidRDefault="00DB3624">
            <w:pPr>
              <w:pStyle w:val="ConsPlusNonformat"/>
              <w:jc w:val="both"/>
            </w:pPr>
            <w:r w:rsidRPr="002513D7">
              <w:t xml:space="preserve">                рублей                 </w:t>
            </w:r>
          </w:p>
        </w:tc>
      </w:tr>
      <w:tr w:rsidR="00DB3624" w:rsidRPr="00D2359A">
        <w:tc>
          <w:tcPr>
            <w:tcW w:w="2684" w:type="dxa"/>
            <w:vMerge/>
            <w:tcBorders>
              <w:top w:val="nil"/>
            </w:tcBorders>
          </w:tcPr>
          <w:p w:rsidR="00DB3624" w:rsidRPr="00D2359A" w:rsidRDefault="00DB3624"/>
        </w:tc>
        <w:tc>
          <w:tcPr>
            <w:tcW w:w="732" w:type="dxa"/>
            <w:tcBorders>
              <w:top w:val="nil"/>
            </w:tcBorders>
          </w:tcPr>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1700</w:t>
            </w:r>
          </w:p>
          <w:p w:rsidR="00DB3624" w:rsidRPr="002513D7" w:rsidRDefault="00DB3624">
            <w:pPr>
              <w:pStyle w:val="ConsPlusNonformat"/>
              <w:jc w:val="both"/>
            </w:pPr>
            <w:r w:rsidRPr="002513D7">
              <w:t>вкл.</w:t>
            </w:r>
          </w:p>
        </w:tc>
        <w:tc>
          <w:tcPr>
            <w:tcW w:w="732"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1700</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2500</w:t>
            </w:r>
          </w:p>
          <w:p w:rsidR="00DB3624" w:rsidRPr="002513D7" w:rsidRDefault="00DB3624">
            <w:pPr>
              <w:pStyle w:val="ConsPlusNonformat"/>
              <w:jc w:val="both"/>
            </w:pPr>
            <w:r w:rsidRPr="002513D7">
              <w:t>вкл.</w:t>
            </w:r>
          </w:p>
        </w:tc>
        <w:tc>
          <w:tcPr>
            <w:tcW w:w="854"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 xml:space="preserve">2500 </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 xml:space="preserve">3350 </w:t>
            </w:r>
          </w:p>
          <w:p w:rsidR="00DB3624" w:rsidRPr="002513D7" w:rsidRDefault="00DB3624">
            <w:pPr>
              <w:pStyle w:val="ConsPlusNonformat"/>
              <w:jc w:val="both"/>
            </w:pPr>
            <w:r w:rsidRPr="002513D7">
              <w:t xml:space="preserve">вкл. </w:t>
            </w:r>
          </w:p>
        </w:tc>
        <w:tc>
          <w:tcPr>
            <w:tcW w:w="854"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 xml:space="preserve">3350 </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 xml:space="preserve">5000 </w:t>
            </w:r>
          </w:p>
          <w:p w:rsidR="00DB3624" w:rsidRPr="002513D7" w:rsidRDefault="00DB3624">
            <w:pPr>
              <w:pStyle w:val="ConsPlusNonformat"/>
              <w:jc w:val="both"/>
            </w:pPr>
            <w:r w:rsidRPr="002513D7">
              <w:t xml:space="preserve">вкл. </w:t>
            </w:r>
          </w:p>
        </w:tc>
        <w:tc>
          <w:tcPr>
            <w:tcW w:w="854"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 xml:space="preserve">5000 </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 xml:space="preserve">7500 </w:t>
            </w:r>
          </w:p>
          <w:p w:rsidR="00DB3624" w:rsidRPr="002513D7" w:rsidRDefault="00DB3624">
            <w:pPr>
              <w:pStyle w:val="ConsPlusNonformat"/>
              <w:jc w:val="both"/>
            </w:pPr>
            <w:r w:rsidRPr="002513D7">
              <w:t xml:space="preserve">вкл. </w:t>
            </w:r>
          </w:p>
        </w:tc>
        <w:tc>
          <w:tcPr>
            <w:tcW w:w="854"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 xml:space="preserve">7500 </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10000</w:t>
            </w:r>
          </w:p>
          <w:p w:rsidR="00DB3624" w:rsidRPr="002513D7" w:rsidRDefault="00DB3624">
            <w:pPr>
              <w:pStyle w:val="ConsPlusNonformat"/>
              <w:jc w:val="both"/>
            </w:pPr>
            <w:r w:rsidRPr="002513D7">
              <w:t xml:space="preserve">вкл. </w:t>
            </w:r>
          </w:p>
        </w:tc>
        <w:tc>
          <w:tcPr>
            <w:tcW w:w="854" w:type="dxa"/>
            <w:tcBorders>
              <w:top w:val="nil"/>
            </w:tcBorders>
          </w:tcPr>
          <w:p w:rsidR="00DB3624" w:rsidRPr="002513D7" w:rsidRDefault="00DB3624">
            <w:pPr>
              <w:pStyle w:val="ConsPlusNonformat"/>
              <w:jc w:val="both"/>
            </w:pPr>
            <w:r w:rsidRPr="002513D7">
              <w:t>Свыше</w:t>
            </w:r>
          </w:p>
          <w:p w:rsidR="00DB3624" w:rsidRPr="002513D7" w:rsidRDefault="00DB3624">
            <w:pPr>
              <w:pStyle w:val="ConsPlusNonformat"/>
              <w:jc w:val="both"/>
            </w:pPr>
            <w:r w:rsidRPr="002513D7">
              <w:t>10000</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          1          </w:t>
            </w:r>
          </w:p>
        </w:tc>
        <w:tc>
          <w:tcPr>
            <w:tcW w:w="732" w:type="dxa"/>
            <w:tcBorders>
              <w:top w:val="nil"/>
            </w:tcBorders>
          </w:tcPr>
          <w:p w:rsidR="00DB3624" w:rsidRPr="002513D7" w:rsidRDefault="00DB3624">
            <w:pPr>
              <w:pStyle w:val="ConsPlusNonformat"/>
              <w:jc w:val="both"/>
            </w:pPr>
            <w:r w:rsidRPr="002513D7">
              <w:t xml:space="preserve"> 2  </w:t>
            </w:r>
          </w:p>
        </w:tc>
        <w:tc>
          <w:tcPr>
            <w:tcW w:w="732" w:type="dxa"/>
            <w:tcBorders>
              <w:top w:val="nil"/>
            </w:tcBorders>
          </w:tcPr>
          <w:p w:rsidR="00DB3624" w:rsidRPr="002513D7" w:rsidRDefault="00DB3624">
            <w:pPr>
              <w:pStyle w:val="ConsPlusNonformat"/>
              <w:jc w:val="both"/>
            </w:pPr>
            <w:r w:rsidRPr="002513D7">
              <w:t xml:space="preserve">  3 </w:t>
            </w:r>
          </w:p>
        </w:tc>
        <w:tc>
          <w:tcPr>
            <w:tcW w:w="854" w:type="dxa"/>
            <w:tcBorders>
              <w:top w:val="nil"/>
            </w:tcBorders>
          </w:tcPr>
          <w:p w:rsidR="00DB3624" w:rsidRPr="002513D7" w:rsidRDefault="00DB3624">
            <w:pPr>
              <w:pStyle w:val="ConsPlusNonformat"/>
              <w:jc w:val="both"/>
            </w:pPr>
            <w:r w:rsidRPr="002513D7">
              <w:t xml:space="preserve">  4  </w:t>
            </w:r>
          </w:p>
        </w:tc>
        <w:tc>
          <w:tcPr>
            <w:tcW w:w="854" w:type="dxa"/>
            <w:tcBorders>
              <w:top w:val="nil"/>
            </w:tcBorders>
          </w:tcPr>
          <w:p w:rsidR="00DB3624" w:rsidRPr="002513D7" w:rsidRDefault="00DB3624">
            <w:pPr>
              <w:pStyle w:val="ConsPlusNonformat"/>
              <w:jc w:val="both"/>
            </w:pPr>
            <w:r w:rsidRPr="002513D7">
              <w:t xml:space="preserve">  5  </w:t>
            </w:r>
          </w:p>
        </w:tc>
        <w:tc>
          <w:tcPr>
            <w:tcW w:w="854" w:type="dxa"/>
            <w:tcBorders>
              <w:top w:val="nil"/>
            </w:tcBorders>
          </w:tcPr>
          <w:p w:rsidR="00DB3624" w:rsidRPr="002513D7" w:rsidRDefault="00DB3624">
            <w:pPr>
              <w:pStyle w:val="ConsPlusNonformat"/>
              <w:jc w:val="both"/>
            </w:pPr>
            <w:r w:rsidRPr="002513D7">
              <w:t xml:space="preserve">  6  </w:t>
            </w:r>
          </w:p>
        </w:tc>
        <w:tc>
          <w:tcPr>
            <w:tcW w:w="854" w:type="dxa"/>
            <w:tcBorders>
              <w:top w:val="nil"/>
            </w:tcBorders>
          </w:tcPr>
          <w:p w:rsidR="00DB3624" w:rsidRPr="002513D7" w:rsidRDefault="00DB3624">
            <w:pPr>
              <w:pStyle w:val="ConsPlusNonformat"/>
              <w:jc w:val="both"/>
            </w:pPr>
            <w:r w:rsidRPr="002513D7">
              <w:t xml:space="preserve">  7  </w:t>
            </w:r>
          </w:p>
        </w:tc>
        <w:tc>
          <w:tcPr>
            <w:tcW w:w="854" w:type="dxa"/>
            <w:tcBorders>
              <w:top w:val="nil"/>
            </w:tcBorders>
          </w:tcPr>
          <w:p w:rsidR="00DB3624" w:rsidRPr="002513D7" w:rsidRDefault="00DB3624">
            <w:pPr>
              <w:pStyle w:val="ConsPlusNonformat"/>
              <w:jc w:val="both"/>
            </w:pPr>
            <w:r w:rsidRPr="002513D7">
              <w:t xml:space="preserve">  8  </w:t>
            </w:r>
          </w:p>
        </w:tc>
      </w:tr>
      <w:tr w:rsidR="00DB3624" w:rsidRPr="00D2359A">
        <w:trPr>
          <w:trHeight w:val="227"/>
        </w:trPr>
        <w:tc>
          <w:tcPr>
            <w:tcW w:w="8540" w:type="dxa"/>
            <w:gridSpan w:val="8"/>
            <w:tcBorders>
              <w:top w:val="nil"/>
            </w:tcBorders>
          </w:tcPr>
          <w:p w:rsidR="00DB3624" w:rsidRPr="002513D7" w:rsidRDefault="00DB3624">
            <w:pPr>
              <w:pStyle w:val="ConsPlusNonformat"/>
              <w:jc w:val="both"/>
            </w:pPr>
            <w:bookmarkStart w:id="0" w:name="P135"/>
            <w:bookmarkEnd w:id="0"/>
            <w:r w:rsidRPr="002513D7">
              <w:t xml:space="preserve">1. Ювелирные изделия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1.1. Площадью от 100 </w:t>
            </w:r>
          </w:p>
          <w:p w:rsidR="00DB3624" w:rsidRPr="002513D7" w:rsidRDefault="00DB3624">
            <w:pPr>
              <w:pStyle w:val="ConsPlusNonformat"/>
              <w:jc w:val="both"/>
            </w:pPr>
            <w:r w:rsidRPr="002513D7">
              <w:t xml:space="preserve">до 150 кв. м         </w:t>
            </w:r>
          </w:p>
          <w:p w:rsidR="00DB3624" w:rsidRPr="002513D7" w:rsidRDefault="00DB3624">
            <w:pPr>
              <w:pStyle w:val="ConsPlusNonformat"/>
              <w:jc w:val="both"/>
            </w:pPr>
            <w:r w:rsidRPr="002513D7">
              <w:t xml:space="preserve">включительно         </w:t>
            </w:r>
          </w:p>
        </w:tc>
        <w:tc>
          <w:tcPr>
            <w:tcW w:w="732" w:type="dxa"/>
            <w:tcBorders>
              <w:top w:val="nil"/>
            </w:tcBorders>
          </w:tcPr>
          <w:p w:rsidR="00DB3624" w:rsidRPr="002513D7" w:rsidRDefault="00DB3624">
            <w:pPr>
              <w:pStyle w:val="ConsPlusNonformat"/>
              <w:jc w:val="both"/>
            </w:pPr>
            <w:r w:rsidRPr="002513D7">
              <w:t xml:space="preserve">0,3 </w:t>
            </w:r>
          </w:p>
        </w:tc>
        <w:tc>
          <w:tcPr>
            <w:tcW w:w="732" w:type="dxa"/>
            <w:tcBorders>
              <w:top w:val="nil"/>
            </w:tcBorders>
          </w:tcPr>
          <w:p w:rsidR="00DB3624" w:rsidRPr="002513D7" w:rsidRDefault="00DB3624">
            <w:pPr>
              <w:pStyle w:val="ConsPlusNonformat"/>
              <w:jc w:val="both"/>
            </w:pPr>
            <w:r w:rsidRPr="002513D7">
              <w:t xml:space="preserve">0,4 </w:t>
            </w:r>
          </w:p>
        </w:tc>
        <w:tc>
          <w:tcPr>
            <w:tcW w:w="854" w:type="dxa"/>
            <w:tcBorders>
              <w:top w:val="nil"/>
            </w:tcBorders>
          </w:tcPr>
          <w:p w:rsidR="00DB3624" w:rsidRPr="002513D7" w:rsidRDefault="00DB3624">
            <w:pPr>
              <w:pStyle w:val="ConsPlusNonformat"/>
              <w:jc w:val="both"/>
            </w:pPr>
            <w:r w:rsidRPr="002513D7">
              <w:t xml:space="preserve">0,5  </w:t>
            </w:r>
          </w:p>
        </w:tc>
        <w:tc>
          <w:tcPr>
            <w:tcW w:w="854" w:type="dxa"/>
            <w:tcBorders>
              <w:top w:val="nil"/>
            </w:tcBorders>
          </w:tcPr>
          <w:p w:rsidR="00DB3624" w:rsidRPr="002513D7" w:rsidRDefault="00DB3624">
            <w:pPr>
              <w:pStyle w:val="ConsPlusNonformat"/>
              <w:jc w:val="both"/>
            </w:pPr>
            <w:r w:rsidRPr="002513D7">
              <w:t xml:space="preserve">0,6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1.2. Площадью от 50  </w:t>
            </w:r>
          </w:p>
          <w:p w:rsidR="00DB3624" w:rsidRPr="002513D7" w:rsidRDefault="00DB3624">
            <w:pPr>
              <w:pStyle w:val="ConsPlusNonformat"/>
              <w:jc w:val="both"/>
            </w:pPr>
            <w:r w:rsidRPr="002513D7">
              <w:t xml:space="preserve">до 100 кв.           </w:t>
            </w:r>
          </w:p>
          <w:p w:rsidR="00DB3624" w:rsidRPr="002513D7" w:rsidRDefault="00DB3624">
            <w:pPr>
              <w:pStyle w:val="ConsPlusNonformat"/>
              <w:jc w:val="both"/>
            </w:pPr>
            <w:r w:rsidRPr="002513D7">
              <w:t xml:space="preserve">исключительно        </w:t>
            </w:r>
          </w:p>
        </w:tc>
        <w:tc>
          <w:tcPr>
            <w:tcW w:w="732" w:type="dxa"/>
            <w:tcBorders>
              <w:top w:val="nil"/>
            </w:tcBorders>
          </w:tcPr>
          <w:p w:rsidR="00DB3624" w:rsidRPr="002513D7" w:rsidRDefault="00DB3624">
            <w:pPr>
              <w:pStyle w:val="ConsPlusNonformat"/>
              <w:jc w:val="both"/>
            </w:pPr>
            <w:r w:rsidRPr="002513D7">
              <w:t>0,32</w:t>
            </w:r>
          </w:p>
        </w:tc>
        <w:tc>
          <w:tcPr>
            <w:tcW w:w="732" w:type="dxa"/>
            <w:tcBorders>
              <w:top w:val="nil"/>
            </w:tcBorders>
          </w:tcPr>
          <w:p w:rsidR="00DB3624" w:rsidRPr="002513D7" w:rsidRDefault="00DB3624">
            <w:pPr>
              <w:pStyle w:val="ConsPlusNonformat"/>
              <w:jc w:val="both"/>
            </w:pPr>
            <w:r w:rsidRPr="002513D7">
              <w:t>0,42</w:t>
            </w:r>
          </w:p>
        </w:tc>
        <w:tc>
          <w:tcPr>
            <w:tcW w:w="854" w:type="dxa"/>
            <w:tcBorders>
              <w:top w:val="nil"/>
            </w:tcBorders>
          </w:tcPr>
          <w:p w:rsidR="00DB3624" w:rsidRPr="002513D7" w:rsidRDefault="00DB3624">
            <w:pPr>
              <w:pStyle w:val="ConsPlusNonformat"/>
              <w:jc w:val="both"/>
            </w:pPr>
            <w:r w:rsidRPr="002513D7">
              <w:t xml:space="preserve">0,51 </w:t>
            </w:r>
          </w:p>
        </w:tc>
        <w:tc>
          <w:tcPr>
            <w:tcW w:w="854" w:type="dxa"/>
            <w:tcBorders>
              <w:top w:val="nil"/>
            </w:tcBorders>
          </w:tcPr>
          <w:p w:rsidR="00DB3624" w:rsidRPr="002513D7" w:rsidRDefault="00DB3624">
            <w:pPr>
              <w:pStyle w:val="ConsPlusNonformat"/>
              <w:jc w:val="both"/>
            </w:pPr>
            <w:r w:rsidRPr="002513D7">
              <w:t xml:space="preserve">0,61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1.3. Площадью от 6 до</w:t>
            </w:r>
          </w:p>
          <w:p w:rsidR="00DB3624" w:rsidRPr="002513D7" w:rsidRDefault="00DB3624">
            <w:pPr>
              <w:pStyle w:val="ConsPlusNonformat"/>
              <w:jc w:val="both"/>
            </w:pPr>
            <w:r w:rsidRPr="002513D7">
              <w:t>50 кв. м включительно</w:t>
            </w:r>
          </w:p>
        </w:tc>
        <w:tc>
          <w:tcPr>
            <w:tcW w:w="732" w:type="dxa"/>
            <w:tcBorders>
              <w:top w:val="nil"/>
            </w:tcBorders>
          </w:tcPr>
          <w:p w:rsidR="00DB3624" w:rsidRPr="002513D7" w:rsidRDefault="00DB3624">
            <w:pPr>
              <w:pStyle w:val="ConsPlusNonformat"/>
              <w:jc w:val="both"/>
            </w:pPr>
            <w:r w:rsidRPr="002513D7">
              <w:t>0,34</w:t>
            </w:r>
          </w:p>
        </w:tc>
        <w:tc>
          <w:tcPr>
            <w:tcW w:w="732" w:type="dxa"/>
            <w:tcBorders>
              <w:top w:val="nil"/>
            </w:tcBorders>
          </w:tcPr>
          <w:p w:rsidR="00DB3624" w:rsidRPr="002513D7" w:rsidRDefault="00DB3624">
            <w:pPr>
              <w:pStyle w:val="ConsPlusNonformat"/>
              <w:jc w:val="both"/>
            </w:pPr>
            <w:r w:rsidRPr="002513D7">
              <w:t>0,45</w:t>
            </w:r>
          </w:p>
        </w:tc>
        <w:tc>
          <w:tcPr>
            <w:tcW w:w="854" w:type="dxa"/>
            <w:tcBorders>
              <w:top w:val="nil"/>
            </w:tcBorders>
          </w:tcPr>
          <w:p w:rsidR="00DB3624" w:rsidRPr="002513D7" w:rsidRDefault="00DB3624">
            <w:pPr>
              <w:pStyle w:val="ConsPlusNonformat"/>
              <w:jc w:val="both"/>
            </w:pPr>
            <w:r w:rsidRPr="002513D7">
              <w:t xml:space="preserve">0,55 </w:t>
            </w:r>
          </w:p>
        </w:tc>
        <w:tc>
          <w:tcPr>
            <w:tcW w:w="854" w:type="dxa"/>
            <w:tcBorders>
              <w:top w:val="nil"/>
            </w:tcBorders>
          </w:tcPr>
          <w:p w:rsidR="00DB3624" w:rsidRPr="002513D7" w:rsidRDefault="00DB3624">
            <w:pPr>
              <w:pStyle w:val="ConsPlusNonformat"/>
              <w:jc w:val="both"/>
            </w:pPr>
            <w:r w:rsidRPr="002513D7">
              <w:t xml:space="preserve">0,66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1.4. Площадью от 4 до</w:t>
            </w:r>
          </w:p>
          <w:p w:rsidR="00DB3624" w:rsidRPr="002513D7" w:rsidRDefault="00DB3624">
            <w:pPr>
              <w:pStyle w:val="ConsPlusNonformat"/>
              <w:jc w:val="both"/>
            </w:pPr>
            <w:r w:rsidRPr="002513D7">
              <w:t xml:space="preserve">6 кв. м включительно </w:t>
            </w:r>
          </w:p>
        </w:tc>
        <w:tc>
          <w:tcPr>
            <w:tcW w:w="732" w:type="dxa"/>
            <w:tcBorders>
              <w:top w:val="nil"/>
            </w:tcBorders>
          </w:tcPr>
          <w:p w:rsidR="00DB3624" w:rsidRPr="002513D7" w:rsidRDefault="00DB3624">
            <w:pPr>
              <w:pStyle w:val="ConsPlusNonformat"/>
              <w:jc w:val="both"/>
            </w:pPr>
            <w:r w:rsidRPr="002513D7">
              <w:t>0,39</w:t>
            </w:r>
          </w:p>
        </w:tc>
        <w:tc>
          <w:tcPr>
            <w:tcW w:w="732" w:type="dxa"/>
            <w:tcBorders>
              <w:top w:val="nil"/>
            </w:tcBorders>
          </w:tcPr>
          <w:p w:rsidR="00DB3624" w:rsidRPr="002513D7" w:rsidRDefault="00DB3624">
            <w:pPr>
              <w:pStyle w:val="ConsPlusNonformat"/>
              <w:jc w:val="both"/>
            </w:pPr>
            <w:r w:rsidRPr="002513D7">
              <w:t>0,53</w:t>
            </w:r>
          </w:p>
        </w:tc>
        <w:tc>
          <w:tcPr>
            <w:tcW w:w="854" w:type="dxa"/>
            <w:tcBorders>
              <w:top w:val="nil"/>
            </w:tcBorders>
          </w:tcPr>
          <w:p w:rsidR="00DB3624" w:rsidRPr="002513D7" w:rsidRDefault="00DB3624">
            <w:pPr>
              <w:pStyle w:val="ConsPlusNonformat"/>
              <w:jc w:val="both"/>
            </w:pPr>
            <w:r w:rsidRPr="002513D7">
              <w:t xml:space="preserve">0,65 </w:t>
            </w:r>
          </w:p>
        </w:tc>
        <w:tc>
          <w:tcPr>
            <w:tcW w:w="854" w:type="dxa"/>
            <w:tcBorders>
              <w:top w:val="nil"/>
            </w:tcBorders>
          </w:tcPr>
          <w:p w:rsidR="00DB3624" w:rsidRPr="002513D7" w:rsidRDefault="00DB3624">
            <w:pPr>
              <w:pStyle w:val="ConsPlusNonformat"/>
              <w:jc w:val="both"/>
            </w:pPr>
            <w:r w:rsidRPr="002513D7">
              <w:t xml:space="preserve">0,78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1.5. Площадью от 2 до</w:t>
            </w:r>
          </w:p>
          <w:p w:rsidR="00DB3624" w:rsidRPr="002513D7" w:rsidRDefault="00DB3624">
            <w:pPr>
              <w:pStyle w:val="ConsPlusNonformat"/>
              <w:jc w:val="both"/>
            </w:pPr>
            <w:r w:rsidRPr="002513D7">
              <w:t xml:space="preserve">4 кв. м включительно </w:t>
            </w:r>
          </w:p>
        </w:tc>
        <w:tc>
          <w:tcPr>
            <w:tcW w:w="732" w:type="dxa"/>
            <w:tcBorders>
              <w:top w:val="nil"/>
            </w:tcBorders>
          </w:tcPr>
          <w:p w:rsidR="00DB3624" w:rsidRPr="002513D7" w:rsidRDefault="00DB3624">
            <w:pPr>
              <w:pStyle w:val="ConsPlusNonformat"/>
              <w:jc w:val="both"/>
            </w:pPr>
            <w:r w:rsidRPr="002513D7">
              <w:t>0,66</w:t>
            </w:r>
          </w:p>
        </w:tc>
        <w:tc>
          <w:tcPr>
            <w:tcW w:w="732"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1.6. Площадью до 2   </w:t>
            </w:r>
          </w:p>
          <w:p w:rsidR="00DB3624" w:rsidRPr="002513D7" w:rsidRDefault="00DB3624">
            <w:pPr>
              <w:pStyle w:val="ConsPlusNonformat"/>
              <w:jc w:val="both"/>
            </w:pPr>
            <w:r w:rsidRPr="002513D7">
              <w:t xml:space="preserve">кв. м включительно   </w:t>
            </w:r>
          </w:p>
        </w:tc>
        <w:tc>
          <w:tcPr>
            <w:tcW w:w="732" w:type="dxa"/>
            <w:tcBorders>
              <w:top w:val="nil"/>
            </w:tcBorders>
          </w:tcPr>
          <w:p w:rsidR="00DB3624" w:rsidRPr="002513D7" w:rsidRDefault="00DB3624">
            <w:pPr>
              <w:pStyle w:val="ConsPlusNonformat"/>
              <w:jc w:val="both"/>
            </w:pPr>
            <w:r w:rsidRPr="002513D7">
              <w:t xml:space="preserve">0,8 </w:t>
            </w:r>
          </w:p>
        </w:tc>
        <w:tc>
          <w:tcPr>
            <w:tcW w:w="732"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8540" w:type="dxa"/>
            <w:gridSpan w:val="8"/>
            <w:tcBorders>
              <w:top w:val="nil"/>
            </w:tcBorders>
          </w:tcPr>
          <w:p w:rsidR="00DB3624" w:rsidRPr="002513D7" w:rsidRDefault="00DB3624">
            <w:pPr>
              <w:pStyle w:val="ConsPlusNonformat"/>
              <w:jc w:val="both"/>
            </w:pPr>
            <w:bookmarkStart w:id="1" w:name="P157"/>
            <w:bookmarkEnd w:id="1"/>
            <w:r w:rsidRPr="002513D7">
              <w:t xml:space="preserve">2. Мебель, изделия из натурального меха, натуральной кожи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2.1. Площадью от 100 </w:t>
            </w:r>
          </w:p>
          <w:p w:rsidR="00DB3624" w:rsidRPr="002513D7" w:rsidRDefault="00DB3624">
            <w:pPr>
              <w:pStyle w:val="ConsPlusNonformat"/>
              <w:jc w:val="both"/>
            </w:pPr>
            <w:r w:rsidRPr="002513D7">
              <w:t xml:space="preserve">до 150 кв. м         </w:t>
            </w:r>
          </w:p>
          <w:p w:rsidR="00DB3624" w:rsidRPr="002513D7" w:rsidRDefault="00DB3624">
            <w:pPr>
              <w:pStyle w:val="ConsPlusNonformat"/>
              <w:jc w:val="both"/>
            </w:pPr>
            <w:r w:rsidRPr="002513D7">
              <w:t xml:space="preserve">включительно         </w:t>
            </w:r>
          </w:p>
        </w:tc>
        <w:tc>
          <w:tcPr>
            <w:tcW w:w="732" w:type="dxa"/>
            <w:tcBorders>
              <w:top w:val="nil"/>
            </w:tcBorders>
          </w:tcPr>
          <w:p w:rsidR="00DB3624" w:rsidRPr="002513D7" w:rsidRDefault="00DB3624">
            <w:pPr>
              <w:pStyle w:val="ConsPlusNonformat"/>
              <w:jc w:val="both"/>
            </w:pPr>
            <w:r w:rsidRPr="002513D7">
              <w:t>0,27</w:t>
            </w:r>
          </w:p>
        </w:tc>
        <w:tc>
          <w:tcPr>
            <w:tcW w:w="732" w:type="dxa"/>
            <w:tcBorders>
              <w:top w:val="nil"/>
            </w:tcBorders>
          </w:tcPr>
          <w:p w:rsidR="00DB3624" w:rsidRPr="002513D7" w:rsidRDefault="00DB3624">
            <w:pPr>
              <w:pStyle w:val="ConsPlusNonformat"/>
              <w:jc w:val="both"/>
            </w:pPr>
            <w:r w:rsidRPr="002513D7">
              <w:t>0,37</w:t>
            </w:r>
          </w:p>
        </w:tc>
        <w:tc>
          <w:tcPr>
            <w:tcW w:w="854" w:type="dxa"/>
            <w:tcBorders>
              <w:top w:val="nil"/>
            </w:tcBorders>
          </w:tcPr>
          <w:p w:rsidR="00DB3624" w:rsidRPr="002513D7" w:rsidRDefault="00DB3624">
            <w:pPr>
              <w:pStyle w:val="ConsPlusNonformat"/>
              <w:jc w:val="both"/>
            </w:pPr>
            <w:r w:rsidRPr="002513D7">
              <w:t xml:space="preserve">0,41 </w:t>
            </w:r>
          </w:p>
        </w:tc>
        <w:tc>
          <w:tcPr>
            <w:tcW w:w="854" w:type="dxa"/>
            <w:tcBorders>
              <w:top w:val="nil"/>
            </w:tcBorders>
          </w:tcPr>
          <w:p w:rsidR="00DB3624" w:rsidRPr="002513D7" w:rsidRDefault="00DB3624">
            <w:pPr>
              <w:pStyle w:val="ConsPlusNonformat"/>
              <w:jc w:val="both"/>
            </w:pPr>
            <w:r w:rsidRPr="002513D7">
              <w:t xml:space="preserve">0,51 </w:t>
            </w:r>
          </w:p>
        </w:tc>
        <w:tc>
          <w:tcPr>
            <w:tcW w:w="854" w:type="dxa"/>
            <w:tcBorders>
              <w:top w:val="nil"/>
            </w:tcBorders>
          </w:tcPr>
          <w:p w:rsidR="00DB3624" w:rsidRPr="002513D7" w:rsidRDefault="00DB3624">
            <w:pPr>
              <w:pStyle w:val="ConsPlusNonformat"/>
              <w:jc w:val="both"/>
            </w:pPr>
            <w:r w:rsidRPr="002513D7">
              <w:t xml:space="preserve">0,7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2.2. Площадью от 50  </w:t>
            </w:r>
          </w:p>
          <w:p w:rsidR="00DB3624" w:rsidRPr="002513D7" w:rsidRDefault="00DB3624">
            <w:pPr>
              <w:pStyle w:val="ConsPlusNonformat"/>
              <w:jc w:val="both"/>
            </w:pPr>
            <w:r w:rsidRPr="002513D7">
              <w:t xml:space="preserve">до 100 кв. м         </w:t>
            </w:r>
          </w:p>
          <w:p w:rsidR="00DB3624" w:rsidRPr="002513D7" w:rsidRDefault="00DB3624">
            <w:pPr>
              <w:pStyle w:val="ConsPlusNonformat"/>
              <w:jc w:val="both"/>
            </w:pPr>
            <w:r w:rsidRPr="002513D7">
              <w:t xml:space="preserve">включительно         </w:t>
            </w:r>
          </w:p>
        </w:tc>
        <w:tc>
          <w:tcPr>
            <w:tcW w:w="732" w:type="dxa"/>
            <w:tcBorders>
              <w:top w:val="nil"/>
            </w:tcBorders>
          </w:tcPr>
          <w:p w:rsidR="00DB3624" w:rsidRPr="002513D7" w:rsidRDefault="00DB3624">
            <w:pPr>
              <w:pStyle w:val="ConsPlusNonformat"/>
              <w:jc w:val="both"/>
            </w:pPr>
            <w:r w:rsidRPr="002513D7">
              <w:t>0,28</w:t>
            </w:r>
          </w:p>
        </w:tc>
        <w:tc>
          <w:tcPr>
            <w:tcW w:w="732" w:type="dxa"/>
            <w:tcBorders>
              <w:top w:val="nil"/>
            </w:tcBorders>
          </w:tcPr>
          <w:p w:rsidR="00DB3624" w:rsidRPr="002513D7" w:rsidRDefault="00DB3624">
            <w:pPr>
              <w:pStyle w:val="ConsPlusNonformat"/>
              <w:jc w:val="both"/>
            </w:pPr>
            <w:r w:rsidRPr="002513D7">
              <w:t>0,39</w:t>
            </w:r>
          </w:p>
        </w:tc>
        <w:tc>
          <w:tcPr>
            <w:tcW w:w="854" w:type="dxa"/>
            <w:tcBorders>
              <w:top w:val="nil"/>
            </w:tcBorders>
          </w:tcPr>
          <w:p w:rsidR="00DB3624" w:rsidRPr="002513D7" w:rsidRDefault="00DB3624">
            <w:pPr>
              <w:pStyle w:val="ConsPlusNonformat"/>
              <w:jc w:val="both"/>
            </w:pPr>
            <w:r w:rsidRPr="002513D7">
              <w:t xml:space="preserve">0,45 </w:t>
            </w:r>
          </w:p>
        </w:tc>
        <w:tc>
          <w:tcPr>
            <w:tcW w:w="854" w:type="dxa"/>
            <w:tcBorders>
              <w:top w:val="nil"/>
            </w:tcBorders>
          </w:tcPr>
          <w:p w:rsidR="00DB3624" w:rsidRPr="002513D7" w:rsidRDefault="00DB3624">
            <w:pPr>
              <w:pStyle w:val="ConsPlusNonformat"/>
              <w:jc w:val="both"/>
            </w:pPr>
            <w:r w:rsidRPr="002513D7">
              <w:t xml:space="preserve">0,54 </w:t>
            </w:r>
          </w:p>
        </w:tc>
        <w:tc>
          <w:tcPr>
            <w:tcW w:w="854" w:type="dxa"/>
            <w:tcBorders>
              <w:top w:val="nil"/>
            </w:tcBorders>
          </w:tcPr>
          <w:p w:rsidR="00DB3624" w:rsidRPr="002513D7" w:rsidRDefault="00DB3624">
            <w:pPr>
              <w:pStyle w:val="ConsPlusNonformat"/>
              <w:jc w:val="both"/>
            </w:pPr>
            <w:r w:rsidRPr="002513D7">
              <w:t xml:space="preserve">0,72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2.3 Площадью от 6 до </w:t>
            </w:r>
          </w:p>
          <w:p w:rsidR="00DB3624" w:rsidRPr="002513D7" w:rsidRDefault="00DB3624">
            <w:pPr>
              <w:pStyle w:val="ConsPlusNonformat"/>
              <w:jc w:val="both"/>
            </w:pPr>
            <w:r w:rsidRPr="002513D7">
              <w:t>50 кв. м включительно</w:t>
            </w:r>
          </w:p>
        </w:tc>
        <w:tc>
          <w:tcPr>
            <w:tcW w:w="732" w:type="dxa"/>
            <w:tcBorders>
              <w:top w:val="nil"/>
            </w:tcBorders>
          </w:tcPr>
          <w:p w:rsidR="00DB3624" w:rsidRPr="002513D7" w:rsidRDefault="00DB3624">
            <w:pPr>
              <w:pStyle w:val="ConsPlusNonformat"/>
              <w:jc w:val="both"/>
            </w:pPr>
            <w:r w:rsidRPr="002513D7">
              <w:t xml:space="preserve">0,3 </w:t>
            </w:r>
          </w:p>
        </w:tc>
        <w:tc>
          <w:tcPr>
            <w:tcW w:w="732" w:type="dxa"/>
            <w:tcBorders>
              <w:top w:val="nil"/>
            </w:tcBorders>
          </w:tcPr>
          <w:p w:rsidR="00DB3624" w:rsidRPr="002513D7" w:rsidRDefault="00DB3624">
            <w:pPr>
              <w:pStyle w:val="ConsPlusNonformat"/>
              <w:jc w:val="both"/>
            </w:pPr>
            <w:r w:rsidRPr="002513D7">
              <w:t>0,41</w:t>
            </w:r>
          </w:p>
        </w:tc>
        <w:tc>
          <w:tcPr>
            <w:tcW w:w="854" w:type="dxa"/>
            <w:tcBorders>
              <w:top w:val="nil"/>
            </w:tcBorders>
          </w:tcPr>
          <w:p w:rsidR="00DB3624" w:rsidRPr="002513D7" w:rsidRDefault="00DB3624">
            <w:pPr>
              <w:pStyle w:val="ConsPlusNonformat"/>
              <w:jc w:val="both"/>
            </w:pPr>
            <w:r w:rsidRPr="002513D7">
              <w:t xml:space="preserve">0,5  </w:t>
            </w:r>
          </w:p>
        </w:tc>
        <w:tc>
          <w:tcPr>
            <w:tcW w:w="854" w:type="dxa"/>
            <w:tcBorders>
              <w:top w:val="nil"/>
            </w:tcBorders>
          </w:tcPr>
          <w:p w:rsidR="00DB3624" w:rsidRPr="002513D7" w:rsidRDefault="00DB3624">
            <w:pPr>
              <w:pStyle w:val="ConsPlusNonformat"/>
              <w:jc w:val="both"/>
            </w:pPr>
            <w:r w:rsidRPr="002513D7">
              <w:t xml:space="preserve">0,6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2.4. Площадью от 4 до</w:t>
            </w:r>
          </w:p>
          <w:p w:rsidR="00DB3624" w:rsidRPr="002513D7" w:rsidRDefault="00DB3624">
            <w:pPr>
              <w:pStyle w:val="ConsPlusNonformat"/>
              <w:jc w:val="both"/>
            </w:pPr>
            <w:r w:rsidRPr="002513D7">
              <w:t xml:space="preserve">6 кв. м включительно </w:t>
            </w:r>
          </w:p>
        </w:tc>
        <w:tc>
          <w:tcPr>
            <w:tcW w:w="732" w:type="dxa"/>
            <w:tcBorders>
              <w:top w:val="nil"/>
            </w:tcBorders>
          </w:tcPr>
          <w:p w:rsidR="00DB3624" w:rsidRPr="002513D7" w:rsidRDefault="00DB3624">
            <w:pPr>
              <w:pStyle w:val="ConsPlusNonformat"/>
              <w:jc w:val="both"/>
            </w:pPr>
            <w:r w:rsidRPr="002513D7">
              <w:t>0,36</w:t>
            </w:r>
          </w:p>
        </w:tc>
        <w:tc>
          <w:tcPr>
            <w:tcW w:w="732" w:type="dxa"/>
            <w:tcBorders>
              <w:top w:val="nil"/>
            </w:tcBorders>
          </w:tcPr>
          <w:p w:rsidR="00DB3624" w:rsidRPr="002513D7" w:rsidRDefault="00DB3624">
            <w:pPr>
              <w:pStyle w:val="ConsPlusNonformat"/>
              <w:jc w:val="both"/>
            </w:pPr>
            <w:r w:rsidRPr="002513D7">
              <w:t>0,49</w:t>
            </w:r>
          </w:p>
        </w:tc>
        <w:tc>
          <w:tcPr>
            <w:tcW w:w="854" w:type="dxa"/>
            <w:tcBorders>
              <w:top w:val="nil"/>
            </w:tcBorders>
          </w:tcPr>
          <w:p w:rsidR="00DB3624" w:rsidRPr="002513D7" w:rsidRDefault="00DB3624">
            <w:pPr>
              <w:pStyle w:val="ConsPlusNonformat"/>
              <w:jc w:val="both"/>
            </w:pPr>
            <w:r w:rsidRPr="002513D7">
              <w:t xml:space="preserve">0,6  </w:t>
            </w:r>
          </w:p>
        </w:tc>
        <w:tc>
          <w:tcPr>
            <w:tcW w:w="854" w:type="dxa"/>
            <w:tcBorders>
              <w:top w:val="nil"/>
            </w:tcBorders>
          </w:tcPr>
          <w:p w:rsidR="00DB3624" w:rsidRPr="002513D7" w:rsidRDefault="00DB3624">
            <w:pPr>
              <w:pStyle w:val="ConsPlusNonformat"/>
              <w:jc w:val="both"/>
            </w:pPr>
            <w:r w:rsidRPr="002513D7">
              <w:t xml:space="preserve">0,72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2.5. Площадью от 2 до</w:t>
            </w:r>
          </w:p>
          <w:p w:rsidR="00DB3624" w:rsidRPr="002513D7" w:rsidRDefault="00DB3624">
            <w:pPr>
              <w:pStyle w:val="ConsPlusNonformat"/>
              <w:jc w:val="both"/>
            </w:pPr>
            <w:r w:rsidRPr="002513D7">
              <w:t xml:space="preserve">4 кв. м включительно </w:t>
            </w:r>
          </w:p>
        </w:tc>
        <w:tc>
          <w:tcPr>
            <w:tcW w:w="732" w:type="dxa"/>
            <w:tcBorders>
              <w:top w:val="nil"/>
            </w:tcBorders>
          </w:tcPr>
          <w:p w:rsidR="00DB3624" w:rsidRPr="002513D7" w:rsidRDefault="00DB3624">
            <w:pPr>
              <w:pStyle w:val="ConsPlusNonformat"/>
              <w:jc w:val="both"/>
            </w:pPr>
            <w:r w:rsidRPr="002513D7">
              <w:t>0,59</w:t>
            </w:r>
          </w:p>
        </w:tc>
        <w:tc>
          <w:tcPr>
            <w:tcW w:w="732"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2.6. Площадью до 2   </w:t>
            </w:r>
          </w:p>
          <w:p w:rsidR="00DB3624" w:rsidRPr="002513D7" w:rsidRDefault="00DB3624">
            <w:pPr>
              <w:pStyle w:val="ConsPlusNonformat"/>
              <w:jc w:val="both"/>
            </w:pPr>
            <w:r w:rsidRPr="002513D7">
              <w:t xml:space="preserve">кв. м включительно   </w:t>
            </w:r>
          </w:p>
        </w:tc>
        <w:tc>
          <w:tcPr>
            <w:tcW w:w="732" w:type="dxa"/>
            <w:tcBorders>
              <w:top w:val="nil"/>
            </w:tcBorders>
          </w:tcPr>
          <w:p w:rsidR="00DB3624" w:rsidRPr="002513D7" w:rsidRDefault="00DB3624">
            <w:pPr>
              <w:pStyle w:val="ConsPlusNonformat"/>
              <w:jc w:val="both"/>
            </w:pPr>
            <w:r w:rsidRPr="002513D7">
              <w:t xml:space="preserve">0,8 </w:t>
            </w:r>
          </w:p>
        </w:tc>
        <w:tc>
          <w:tcPr>
            <w:tcW w:w="732"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8540" w:type="dxa"/>
            <w:gridSpan w:val="8"/>
            <w:tcBorders>
              <w:top w:val="nil"/>
            </w:tcBorders>
          </w:tcPr>
          <w:p w:rsidR="00DB3624" w:rsidRPr="002513D7" w:rsidRDefault="00DB3624">
            <w:pPr>
              <w:pStyle w:val="ConsPlusNonformat"/>
              <w:jc w:val="both"/>
            </w:pPr>
            <w:bookmarkStart w:id="2" w:name="P179"/>
            <w:bookmarkEnd w:id="2"/>
            <w:r w:rsidRPr="002513D7">
              <w:t xml:space="preserve">3. Алкогольная продукция, пиво, табачные изделия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3.1. Площадью от 100 </w:t>
            </w:r>
          </w:p>
          <w:p w:rsidR="00DB3624" w:rsidRPr="002513D7" w:rsidRDefault="00DB3624">
            <w:pPr>
              <w:pStyle w:val="ConsPlusNonformat"/>
              <w:jc w:val="both"/>
            </w:pPr>
            <w:r w:rsidRPr="002513D7">
              <w:t xml:space="preserve">до 150 кв. м         </w:t>
            </w:r>
          </w:p>
          <w:p w:rsidR="00DB3624" w:rsidRPr="002513D7" w:rsidRDefault="00DB3624">
            <w:pPr>
              <w:pStyle w:val="ConsPlusNonformat"/>
              <w:jc w:val="both"/>
            </w:pPr>
            <w:r w:rsidRPr="002513D7">
              <w:t xml:space="preserve">включительно         </w:t>
            </w:r>
          </w:p>
        </w:tc>
        <w:tc>
          <w:tcPr>
            <w:tcW w:w="732" w:type="dxa"/>
            <w:tcBorders>
              <w:top w:val="nil"/>
            </w:tcBorders>
          </w:tcPr>
          <w:p w:rsidR="00DB3624" w:rsidRPr="002513D7" w:rsidRDefault="00DB3624">
            <w:pPr>
              <w:pStyle w:val="ConsPlusNonformat"/>
              <w:jc w:val="both"/>
            </w:pPr>
            <w:r w:rsidRPr="002513D7">
              <w:t>0,24</w:t>
            </w:r>
          </w:p>
        </w:tc>
        <w:tc>
          <w:tcPr>
            <w:tcW w:w="732" w:type="dxa"/>
            <w:tcBorders>
              <w:top w:val="nil"/>
            </w:tcBorders>
          </w:tcPr>
          <w:p w:rsidR="00DB3624" w:rsidRPr="002513D7" w:rsidRDefault="00DB3624">
            <w:pPr>
              <w:pStyle w:val="ConsPlusNonformat"/>
              <w:jc w:val="both"/>
            </w:pPr>
            <w:r w:rsidRPr="002513D7">
              <w:t>0,32</w:t>
            </w:r>
          </w:p>
        </w:tc>
        <w:tc>
          <w:tcPr>
            <w:tcW w:w="854" w:type="dxa"/>
            <w:tcBorders>
              <w:top w:val="nil"/>
            </w:tcBorders>
          </w:tcPr>
          <w:p w:rsidR="00DB3624" w:rsidRPr="002513D7" w:rsidRDefault="00DB3624">
            <w:pPr>
              <w:pStyle w:val="ConsPlusNonformat"/>
              <w:jc w:val="both"/>
            </w:pPr>
            <w:r w:rsidRPr="002513D7">
              <w:t xml:space="preserve">0,37 </w:t>
            </w:r>
          </w:p>
        </w:tc>
        <w:tc>
          <w:tcPr>
            <w:tcW w:w="854" w:type="dxa"/>
            <w:tcBorders>
              <w:top w:val="nil"/>
            </w:tcBorders>
          </w:tcPr>
          <w:p w:rsidR="00DB3624" w:rsidRPr="002513D7" w:rsidRDefault="00DB3624">
            <w:pPr>
              <w:pStyle w:val="ConsPlusNonformat"/>
              <w:jc w:val="both"/>
            </w:pPr>
            <w:r w:rsidRPr="002513D7">
              <w:t xml:space="preserve">0,45 </w:t>
            </w:r>
          </w:p>
        </w:tc>
        <w:tc>
          <w:tcPr>
            <w:tcW w:w="854" w:type="dxa"/>
            <w:tcBorders>
              <w:top w:val="nil"/>
            </w:tcBorders>
          </w:tcPr>
          <w:p w:rsidR="00DB3624" w:rsidRPr="002513D7" w:rsidRDefault="00DB3624">
            <w:pPr>
              <w:pStyle w:val="ConsPlusNonformat"/>
              <w:jc w:val="both"/>
            </w:pPr>
            <w:r w:rsidRPr="002513D7">
              <w:t xml:space="preserve">0,54 </w:t>
            </w:r>
          </w:p>
        </w:tc>
        <w:tc>
          <w:tcPr>
            <w:tcW w:w="854" w:type="dxa"/>
            <w:tcBorders>
              <w:top w:val="nil"/>
            </w:tcBorders>
          </w:tcPr>
          <w:p w:rsidR="00DB3624" w:rsidRPr="002513D7" w:rsidRDefault="00DB3624">
            <w:pPr>
              <w:pStyle w:val="ConsPlusNonformat"/>
              <w:jc w:val="both"/>
            </w:pPr>
            <w:r w:rsidRPr="002513D7">
              <w:t xml:space="preserve">0,7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3.2. Площадью от 50  </w:t>
            </w:r>
          </w:p>
          <w:p w:rsidR="00DB3624" w:rsidRPr="002513D7" w:rsidRDefault="00DB3624">
            <w:pPr>
              <w:pStyle w:val="ConsPlusNonformat"/>
              <w:jc w:val="both"/>
            </w:pPr>
            <w:r w:rsidRPr="002513D7">
              <w:t xml:space="preserve">до 100 кв. м         </w:t>
            </w:r>
          </w:p>
          <w:p w:rsidR="00DB3624" w:rsidRPr="002513D7" w:rsidRDefault="00DB3624">
            <w:pPr>
              <w:pStyle w:val="ConsPlusNonformat"/>
              <w:jc w:val="both"/>
            </w:pPr>
            <w:r w:rsidRPr="002513D7">
              <w:t xml:space="preserve">включительно         </w:t>
            </w:r>
          </w:p>
        </w:tc>
        <w:tc>
          <w:tcPr>
            <w:tcW w:w="732" w:type="dxa"/>
            <w:tcBorders>
              <w:top w:val="nil"/>
            </w:tcBorders>
          </w:tcPr>
          <w:p w:rsidR="00DB3624" w:rsidRPr="002513D7" w:rsidRDefault="00DB3624">
            <w:pPr>
              <w:pStyle w:val="ConsPlusNonformat"/>
              <w:jc w:val="both"/>
            </w:pPr>
            <w:r w:rsidRPr="002513D7">
              <w:t>0,25</w:t>
            </w:r>
          </w:p>
        </w:tc>
        <w:tc>
          <w:tcPr>
            <w:tcW w:w="732" w:type="dxa"/>
            <w:tcBorders>
              <w:top w:val="nil"/>
            </w:tcBorders>
          </w:tcPr>
          <w:p w:rsidR="00DB3624" w:rsidRPr="002513D7" w:rsidRDefault="00DB3624">
            <w:pPr>
              <w:pStyle w:val="ConsPlusNonformat"/>
              <w:jc w:val="both"/>
            </w:pPr>
            <w:r w:rsidRPr="002513D7">
              <w:t>0,33</w:t>
            </w:r>
          </w:p>
        </w:tc>
        <w:tc>
          <w:tcPr>
            <w:tcW w:w="854" w:type="dxa"/>
            <w:tcBorders>
              <w:top w:val="nil"/>
            </w:tcBorders>
          </w:tcPr>
          <w:p w:rsidR="00DB3624" w:rsidRPr="002513D7" w:rsidRDefault="00DB3624">
            <w:pPr>
              <w:pStyle w:val="ConsPlusNonformat"/>
              <w:jc w:val="both"/>
            </w:pPr>
            <w:r w:rsidRPr="002513D7">
              <w:t xml:space="preserve">0,4  </w:t>
            </w:r>
          </w:p>
        </w:tc>
        <w:tc>
          <w:tcPr>
            <w:tcW w:w="854" w:type="dxa"/>
            <w:tcBorders>
              <w:top w:val="nil"/>
            </w:tcBorders>
          </w:tcPr>
          <w:p w:rsidR="00DB3624" w:rsidRPr="002513D7" w:rsidRDefault="00DB3624">
            <w:pPr>
              <w:pStyle w:val="ConsPlusNonformat"/>
              <w:jc w:val="both"/>
            </w:pPr>
            <w:r w:rsidRPr="002513D7">
              <w:t xml:space="preserve">0,48 </w:t>
            </w:r>
          </w:p>
        </w:tc>
        <w:tc>
          <w:tcPr>
            <w:tcW w:w="854" w:type="dxa"/>
            <w:tcBorders>
              <w:top w:val="nil"/>
            </w:tcBorders>
          </w:tcPr>
          <w:p w:rsidR="00DB3624" w:rsidRPr="002513D7" w:rsidRDefault="00DB3624">
            <w:pPr>
              <w:pStyle w:val="ConsPlusNonformat"/>
              <w:jc w:val="both"/>
            </w:pPr>
            <w:r w:rsidRPr="002513D7">
              <w:t xml:space="preserve">0,65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3.3. Площадью от 6 до</w:t>
            </w:r>
          </w:p>
          <w:p w:rsidR="00DB3624" w:rsidRPr="002513D7" w:rsidRDefault="00DB3624">
            <w:pPr>
              <w:pStyle w:val="ConsPlusNonformat"/>
              <w:jc w:val="both"/>
            </w:pPr>
            <w:r w:rsidRPr="002513D7">
              <w:t>50 кв. м включительно</w:t>
            </w:r>
          </w:p>
        </w:tc>
        <w:tc>
          <w:tcPr>
            <w:tcW w:w="732" w:type="dxa"/>
            <w:tcBorders>
              <w:top w:val="nil"/>
            </w:tcBorders>
          </w:tcPr>
          <w:p w:rsidR="00DB3624" w:rsidRPr="002513D7" w:rsidRDefault="00DB3624">
            <w:pPr>
              <w:pStyle w:val="ConsPlusNonformat"/>
              <w:jc w:val="both"/>
            </w:pPr>
            <w:r w:rsidRPr="002513D7">
              <w:t>0,26</w:t>
            </w:r>
          </w:p>
        </w:tc>
        <w:tc>
          <w:tcPr>
            <w:tcW w:w="732" w:type="dxa"/>
            <w:tcBorders>
              <w:top w:val="nil"/>
            </w:tcBorders>
          </w:tcPr>
          <w:p w:rsidR="00DB3624" w:rsidRPr="002513D7" w:rsidRDefault="00DB3624">
            <w:pPr>
              <w:pStyle w:val="ConsPlusNonformat"/>
              <w:jc w:val="both"/>
            </w:pPr>
            <w:r w:rsidRPr="002513D7">
              <w:t>0,35</w:t>
            </w:r>
          </w:p>
        </w:tc>
        <w:tc>
          <w:tcPr>
            <w:tcW w:w="854" w:type="dxa"/>
            <w:tcBorders>
              <w:top w:val="nil"/>
            </w:tcBorders>
          </w:tcPr>
          <w:p w:rsidR="00DB3624" w:rsidRPr="002513D7" w:rsidRDefault="00DB3624">
            <w:pPr>
              <w:pStyle w:val="ConsPlusNonformat"/>
              <w:jc w:val="both"/>
            </w:pPr>
            <w:r w:rsidRPr="002513D7">
              <w:t xml:space="preserve">0,43 </w:t>
            </w:r>
          </w:p>
        </w:tc>
        <w:tc>
          <w:tcPr>
            <w:tcW w:w="854" w:type="dxa"/>
            <w:tcBorders>
              <w:top w:val="nil"/>
            </w:tcBorders>
          </w:tcPr>
          <w:p w:rsidR="00DB3624" w:rsidRPr="002513D7" w:rsidRDefault="00DB3624">
            <w:pPr>
              <w:pStyle w:val="ConsPlusNonformat"/>
              <w:jc w:val="both"/>
            </w:pPr>
            <w:r w:rsidRPr="002513D7">
              <w:t xml:space="preserve">0,52 </w:t>
            </w:r>
          </w:p>
        </w:tc>
        <w:tc>
          <w:tcPr>
            <w:tcW w:w="854" w:type="dxa"/>
            <w:tcBorders>
              <w:top w:val="nil"/>
            </w:tcBorders>
          </w:tcPr>
          <w:p w:rsidR="00DB3624" w:rsidRPr="002513D7" w:rsidRDefault="00DB3624">
            <w:pPr>
              <w:pStyle w:val="ConsPlusNonformat"/>
              <w:jc w:val="both"/>
            </w:pPr>
            <w:r w:rsidRPr="002513D7">
              <w:t xml:space="preserve">0,7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3.4. Площадью от 4 до</w:t>
            </w:r>
          </w:p>
          <w:p w:rsidR="00DB3624" w:rsidRPr="002513D7" w:rsidRDefault="00DB3624">
            <w:pPr>
              <w:pStyle w:val="ConsPlusNonformat"/>
              <w:jc w:val="both"/>
            </w:pPr>
            <w:r w:rsidRPr="002513D7">
              <w:t xml:space="preserve">6 кв. м включительно </w:t>
            </w:r>
          </w:p>
        </w:tc>
        <w:tc>
          <w:tcPr>
            <w:tcW w:w="732" w:type="dxa"/>
            <w:tcBorders>
              <w:top w:val="nil"/>
            </w:tcBorders>
          </w:tcPr>
          <w:p w:rsidR="00DB3624" w:rsidRPr="002513D7" w:rsidRDefault="00DB3624">
            <w:pPr>
              <w:pStyle w:val="ConsPlusNonformat"/>
              <w:jc w:val="both"/>
            </w:pPr>
            <w:r w:rsidRPr="002513D7">
              <w:t xml:space="preserve">0,3 </w:t>
            </w:r>
          </w:p>
        </w:tc>
        <w:tc>
          <w:tcPr>
            <w:tcW w:w="732" w:type="dxa"/>
            <w:tcBorders>
              <w:top w:val="nil"/>
            </w:tcBorders>
          </w:tcPr>
          <w:p w:rsidR="00DB3624" w:rsidRPr="002513D7" w:rsidRDefault="00DB3624">
            <w:pPr>
              <w:pStyle w:val="ConsPlusNonformat"/>
              <w:jc w:val="both"/>
            </w:pPr>
            <w:r w:rsidRPr="002513D7">
              <w:t>0,41</w:t>
            </w:r>
          </w:p>
        </w:tc>
        <w:tc>
          <w:tcPr>
            <w:tcW w:w="854" w:type="dxa"/>
            <w:tcBorders>
              <w:top w:val="nil"/>
            </w:tcBorders>
          </w:tcPr>
          <w:p w:rsidR="00DB3624" w:rsidRPr="002513D7" w:rsidRDefault="00DB3624">
            <w:pPr>
              <w:pStyle w:val="ConsPlusNonformat"/>
              <w:jc w:val="both"/>
            </w:pPr>
            <w:r w:rsidRPr="002513D7">
              <w:t xml:space="preserve">0,5  </w:t>
            </w:r>
          </w:p>
        </w:tc>
        <w:tc>
          <w:tcPr>
            <w:tcW w:w="854" w:type="dxa"/>
            <w:tcBorders>
              <w:top w:val="nil"/>
            </w:tcBorders>
          </w:tcPr>
          <w:p w:rsidR="00DB3624" w:rsidRPr="002513D7" w:rsidRDefault="00DB3624">
            <w:pPr>
              <w:pStyle w:val="ConsPlusNonformat"/>
              <w:jc w:val="both"/>
            </w:pPr>
            <w:r w:rsidRPr="002513D7">
              <w:t xml:space="preserve">0,6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3.5. Площадью от 2 до</w:t>
            </w:r>
          </w:p>
          <w:p w:rsidR="00DB3624" w:rsidRPr="002513D7" w:rsidRDefault="00DB3624">
            <w:pPr>
              <w:pStyle w:val="ConsPlusNonformat"/>
              <w:jc w:val="both"/>
            </w:pPr>
            <w:r w:rsidRPr="002513D7">
              <w:t xml:space="preserve">4 кв. м включительно </w:t>
            </w:r>
          </w:p>
        </w:tc>
        <w:tc>
          <w:tcPr>
            <w:tcW w:w="732" w:type="dxa"/>
            <w:tcBorders>
              <w:top w:val="nil"/>
            </w:tcBorders>
          </w:tcPr>
          <w:p w:rsidR="00DB3624" w:rsidRPr="002513D7" w:rsidRDefault="00DB3624">
            <w:pPr>
              <w:pStyle w:val="ConsPlusNonformat"/>
              <w:jc w:val="both"/>
            </w:pPr>
            <w:r w:rsidRPr="002513D7">
              <w:t xml:space="preserve">0,5 </w:t>
            </w:r>
          </w:p>
        </w:tc>
        <w:tc>
          <w:tcPr>
            <w:tcW w:w="732" w:type="dxa"/>
            <w:tcBorders>
              <w:top w:val="nil"/>
            </w:tcBorders>
          </w:tcPr>
          <w:p w:rsidR="00DB3624" w:rsidRPr="002513D7" w:rsidRDefault="00DB3624">
            <w:pPr>
              <w:pStyle w:val="ConsPlusNonformat"/>
              <w:jc w:val="both"/>
            </w:pPr>
            <w:r w:rsidRPr="002513D7">
              <w:t xml:space="preserve">0,7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3.6. Площадью до 2   </w:t>
            </w:r>
          </w:p>
          <w:p w:rsidR="00DB3624" w:rsidRPr="002513D7" w:rsidRDefault="00DB3624">
            <w:pPr>
              <w:pStyle w:val="ConsPlusNonformat"/>
              <w:jc w:val="both"/>
            </w:pPr>
            <w:r w:rsidRPr="002513D7">
              <w:t xml:space="preserve">кв. м включительно   </w:t>
            </w:r>
          </w:p>
        </w:tc>
        <w:tc>
          <w:tcPr>
            <w:tcW w:w="732" w:type="dxa"/>
            <w:tcBorders>
              <w:top w:val="nil"/>
            </w:tcBorders>
          </w:tcPr>
          <w:p w:rsidR="00DB3624" w:rsidRPr="002513D7" w:rsidRDefault="00DB3624">
            <w:pPr>
              <w:pStyle w:val="ConsPlusNonformat"/>
              <w:jc w:val="both"/>
            </w:pPr>
            <w:r w:rsidRPr="002513D7">
              <w:t xml:space="preserve">0,8 </w:t>
            </w:r>
          </w:p>
        </w:tc>
        <w:tc>
          <w:tcPr>
            <w:tcW w:w="732"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8540" w:type="dxa"/>
            <w:gridSpan w:val="8"/>
            <w:tcBorders>
              <w:top w:val="nil"/>
            </w:tcBorders>
          </w:tcPr>
          <w:p w:rsidR="00DB3624" w:rsidRPr="002513D7" w:rsidRDefault="00DB3624">
            <w:pPr>
              <w:pStyle w:val="ConsPlusNonformat"/>
              <w:jc w:val="both"/>
            </w:pPr>
            <w:bookmarkStart w:id="3" w:name="P201"/>
            <w:bookmarkEnd w:id="3"/>
            <w:r w:rsidRPr="002513D7">
              <w:t xml:space="preserve">4. Продовольственные товары, лекарственные средства, изделия </w:t>
            </w:r>
          </w:p>
          <w:p w:rsidR="00DB3624" w:rsidRPr="002513D7" w:rsidRDefault="00DB3624">
            <w:pPr>
              <w:pStyle w:val="ConsPlusNonformat"/>
              <w:jc w:val="both"/>
            </w:pPr>
            <w:r w:rsidRPr="002513D7">
              <w:t xml:space="preserve">медицинского назначения, изделия народных художественных     </w:t>
            </w:r>
          </w:p>
          <w:p w:rsidR="00DB3624" w:rsidRPr="002513D7" w:rsidRDefault="00DB3624">
            <w:pPr>
              <w:pStyle w:val="ConsPlusNonformat"/>
              <w:jc w:val="both"/>
            </w:pPr>
            <w:r w:rsidRPr="002513D7">
              <w:t xml:space="preserve">промыслов (образцы изделий утверждаются областным            </w:t>
            </w:r>
          </w:p>
          <w:p w:rsidR="00DB3624" w:rsidRPr="002513D7" w:rsidRDefault="00DB3624">
            <w:pPr>
              <w:pStyle w:val="ConsPlusNonformat"/>
              <w:jc w:val="both"/>
            </w:pPr>
            <w:r w:rsidRPr="002513D7">
              <w:t xml:space="preserve">художественно-экспертным советом по декоративно-прикладному  </w:t>
            </w:r>
          </w:p>
          <w:p w:rsidR="00DB3624" w:rsidRPr="002513D7" w:rsidRDefault="00DB3624">
            <w:pPr>
              <w:pStyle w:val="ConsPlusNonformat"/>
              <w:jc w:val="both"/>
            </w:pPr>
            <w:r w:rsidRPr="002513D7">
              <w:t xml:space="preserve">искусству); предметы культа и религиозного назначения (кроме </w:t>
            </w:r>
          </w:p>
          <w:p w:rsidR="00DB3624" w:rsidRPr="002513D7" w:rsidRDefault="00DB3624">
            <w:pPr>
              <w:pStyle w:val="ConsPlusNonformat"/>
              <w:jc w:val="both"/>
            </w:pPr>
            <w:r w:rsidRPr="002513D7">
              <w:t xml:space="preserve">изделий из драгоценных металлов и драгоценных камней);       </w:t>
            </w:r>
          </w:p>
          <w:p w:rsidR="00DB3624" w:rsidRPr="002513D7" w:rsidRDefault="00DB3624">
            <w:pPr>
              <w:pStyle w:val="ConsPlusNonformat"/>
              <w:jc w:val="both"/>
            </w:pPr>
            <w:r w:rsidRPr="002513D7">
              <w:t xml:space="preserve">книжная продукция и периодические издания (кроме продукции   </w:t>
            </w:r>
          </w:p>
          <w:p w:rsidR="00DB3624" w:rsidRPr="002513D7" w:rsidRDefault="00DB3624">
            <w:pPr>
              <w:pStyle w:val="ConsPlusNonformat"/>
              <w:jc w:val="both"/>
            </w:pPr>
            <w:r w:rsidRPr="002513D7">
              <w:t xml:space="preserve">рекламного и эротического характера), а также сопутствующие  </w:t>
            </w:r>
          </w:p>
          <w:p w:rsidR="00DB3624" w:rsidRPr="002513D7" w:rsidRDefault="00DB3624">
            <w:pPr>
              <w:pStyle w:val="ConsPlusNonformat"/>
              <w:jc w:val="both"/>
            </w:pPr>
            <w:r w:rsidRPr="002513D7">
              <w:t xml:space="preserve">товары (при условии, что доходы от реализации сопутствующих  </w:t>
            </w:r>
          </w:p>
          <w:p w:rsidR="00DB3624" w:rsidRPr="002513D7" w:rsidRDefault="00DB3624">
            <w:pPr>
              <w:pStyle w:val="ConsPlusNonformat"/>
              <w:jc w:val="both"/>
            </w:pPr>
            <w:r w:rsidRPr="002513D7">
              <w:t xml:space="preserve">товаров составляют не более 30 процентов от общего           </w:t>
            </w:r>
          </w:p>
          <w:p w:rsidR="00DB3624" w:rsidRPr="002513D7" w:rsidRDefault="00DB3624">
            <w:pPr>
              <w:pStyle w:val="ConsPlusNonformat"/>
              <w:jc w:val="both"/>
            </w:pPr>
            <w:r w:rsidRPr="002513D7">
              <w:t xml:space="preserve">товарооборота)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4.1. Площадью от 100 </w:t>
            </w:r>
          </w:p>
          <w:p w:rsidR="00DB3624" w:rsidRPr="002513D7" w:rsidRDefault="00DB3624">
            <w:pPr>
              <w:pStyle w:val="ConsPlusNonformat"/>
              <w:jc w:val="both"/>
            </w:pPr>
            <w:r w:rsidRPr="002513D7">
              <w:t xml:space="preserve">до 150 кв. м         </w:t>
            </w:r>
          </w:p>
          <w:p w:rsidR="00DB3624" w:rsidRPr="002513D7" w:rsidRDefault="00DB3624">
            <w:pPr>
              <w:pStyle w:val="ConsPlusNonformat"/>
              <w:jc w:val="both"/>
            </w:pPr>
            <w:r w:rsidRPr="002513D7">
              <w:t xml:space="preserve">включительно         </w:t>
            </w:r>
          </w:p>
        </w:tc>
        <w:tc>
          <w:tcPr>
            <w:tcW w:w="732" w:type="dxa"/>
            <w:tcBorders>
              <w:top w:val="nil"/>
            </w:tcBorders>
          </w:tcPr>
          <w:p w:rsidR="00DB3624" w:rsidRPr="002513D7" w:rsidRDefault="00DB3624">
            <w:pPr>
              <w:pStyle w:val="ConsPlusNonformat"/>
              <w:jc w:val="both"/>
            </w:pPr>
            <w:r w:rsidRPr="002513D7">
              <w:t>0,12</w:t>
            </w:r>
          </w:p>
        </w:tc>
        <w:tc>
          <w:tcPr>
            <w:tcW w:w="732" w:type="dxa"/>
            <w:tcBorders>
              <w:top w:val="nil"/>
            </w:tcBorders>
          </w:tcPr>
          <w:p w:rsidR="00DB3624" w:rsidRPr="002513D7" w:rsidRDefault="00DB3624">
            <w:pPr>
              <w:pStyle w:val="ConsPlusNonformat"/>
              <w:jc w:val="both"/>
            </w:pPr>
            <w:r w:rsidRPr="002513D7">
              <w:t>0,18</w:t>
            </w:r>
          </w:p>
        </w:tc>
        <w:tc>
          <w:tcPr>
            <w:tcW w:w="854" w:type="dxa"/>
            <w:tcBorders>
              <w:top w:val="nil"/>
            </w:tcBorders>
          </w:tcPr>
          <w:p w:rsidR="00DB3624" w:rsidRPr="002513D7" w:rsidRDefault="00DB3624">
            <w:pPr>
              <w:pStyle w:val="ConsPlusNonformat"/>
              <w:jc w:val="both"/>
            </w:pPr>
            <w:r w:rsidRPr="002513D7">
              <w:t xml:space="preserve">0,24 </w:t>
            </w:r>
          </w:p>
        </w:tc>
        <w:tc>
          <w:tcPr>
            <w:tcW w:w="854" w:type="dxa"/>
            <w:tcBorders>
              <w:top w:val="nil"/>
            </w:tcBorders>
          </w:tcPr>
          <w:p w:rsidR="00DB3624" w:rsidRPr="002513D7" w:rsidRDefault="00DB3624">
            <w:pPr>
              <w:pStyle w:val="ConsPlusNonformat"/>
              <w:jc w:val="both"/>
            </w:pPr>
            <w:r w:rsidRPr="002513D7">
              <w:t xml:space="preserve">0,31 </w:t>
            </w:r>
          </w:p>
        </w:tc>
        <w:tc>
          <w:tcPr>
            <w:tcW w:w="854" w:type="dxa"/>
            <w:tcBorders>
              <w:top w:val="nil"/>
            </w:tcBorders>
          </w:tcPr>
          <w:p w:rsidR="00DB3624" w:rsidRPr="002513D7" w:rsidRDefault="00DB3624">
            <w:pPr>
              <w:pStyle w:val="ConsPlusNonformat"/>
              <w:jc w:val="both"/>
            </w:pPr>
            <w:r w:rsidRPr="002513D7">
              <w:t xml:space="preserve">0,41 </w:t>
            </w:r>
          </w:p>
        </w:tc>
        <w:tc>
          <w:tcPr>
            <w:tcW w:w="854" w:type="dxa"/>
            <w:tcBorders>
              <w:top w:val="nil"/>
            </w:tcBorders>
          </w:tcPr>
          <w:p w:rsidR="00DB3624" w:rsidRPr="002513D7" w:rsidRDefault="00DB3624">
            <w:pPr>
              <w:pStyle w:val="ConsPlusNonformat"/>
              <w:jc w:val="both"/>
            </w:pPr>
            <w:r w:rsidRPr="002513D7">
              <w:t xml:space="preserve">0,6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4.2. Площадью от 50  </w:t>
            </w:r>
          </w:p>
          <w:p w:rsidR="00DB3624" w:rsidRPr="002513D7" w:rsidRDefault="00DB3624">
            <w:pPr>
              <w:pStyle w:val="ConsPlusNonformat"/>
              <w:jc w:val="both"/>
            </w:pPr>
            <w:r w:rsidRPr="002513D7">
              <w:t xml:space="preserve">до 100 кв. м         </w:t>
            </w:r>
          </w:p>
          <w:p w:rsidR="00DB3624" w:rsidRPr="002513D7" w:rsidRDefault="00DB3624">
            <w:pPr>
              <w:pStyle w:val="ConsPlusNonformat"/>
              <w:jc w:val="both"/>
            </w:pPr>
            <w:r w:rsidRPr="002513D7">
              <w:t xml:space="preserve">включительно         </w:t>
            </w:r>
          </w:p>
        </w:tc>
        <w:tc>
          <w:tcPr>
            <w:tcW w:w="732" w:type="dxa"/>
            <w:tcBorders>
              <w:top w:val="nil"/>
            </w:tcBorders>
          </w:tcPr>
          <w:p w:rsidR="00DB3624" w:rsidRPr="002513D7" w:rsidRDefault="00DB3624">
            <w:pPr>
              <w:pStyle w:val="ConsPlusNonformat"/>
              <w:jc w:val="both"/>
            </w:pPr>
            <w:r w:rsidRPr="002513D7">
              <w:t>0,14</w:t>
            </w:r>
          </w:p>
        </w:tc>
        <w:tc>
          <w:tcPr>
            <w:tcW w:w="732" w:type="dxa"/>
            <w:tcBorders>
              <w:top w:val="nil"/>
            </w:tcBorders>
          </w:tcPr>
          <w:p w:rsidR="00DB3624" w:rsidRPr="002513D7" w:rsidRDefault="00DB3624">
            <w:pPr>
              <w:pStyle w:val="ConsPlusNonformat"/>
              <w:jc w:val="both"/>
            </w:pPr>
            <w:r w:rsidRPr="002513D7">
              <w:t xml:space="preserve">0,2 </w:t>
            </w:r>
          </w:p>
        </w:tc>
        <w:tc>
          <w:tcPr>
            <w:tcW w:w="854" w:type="dxa"/>
            <w:tcBorders>
              <w:top w:val="nil"/>
            </w:tcBorders>
          </w:tcPr>
          <w:p w:rsidR="00DB3624" w:rsidRPr="002513D7" w:rsidRDefault="00DB3624">
            <w:pPr>
              <w:pStyle w:val="ConsPlusNonformat"/>
              <w:jc w:val="both"/>
            </w:pPr>
            <w:r w:rsidRPr="002513D7">
              <w:t xml:space="preserve">0,26 </w:t>
            </w:r>
          </w:p>
        </w:tc>
        <w:tc>
          <w:tcPr>
            <w:tcW w:w="854" w:type="dxa"/>
            <w:tcBorders>
              <w:top w:val="nil"/>
            </w:tcBorders>
          </w:tcPr>
          <w:p w:rsidR="00DB3624" w:rsidRPr="002513D7" w:rsidRDefault="00DB3624">
            <w:pPr>
              <w:pStyle w:val="ConsPlusNonformat"/>
              <w:jc w:val="both"/>
            </w:pPr>
            <w:r w:rsidRPr="002513D7">
              <w:t xml:space="preserve">0,33 </w:t>
            </w:r>
          </w:p>
        </w:tc>
        <w:tc>
          <w:tcPr>
            <w:tcW w:w="854" w:type="dxa"/>
            <w:tcBorders>
              <w:top w:val="nil"/>
            </w:tcBorders>
          </w:tcPr>
          <w:p w:rsidR="00DB3624" w:rsidRPr="002513D7" w:rsidRDefault="00DB3624">
            <w:pPr>
              <w:pStyle w:val="ConsPlusNonformat"/>
              <w:jc w:val="both"/>
            </w:pPr>
            <w:r w:rsidRPr="002513D7">
              <w:t xml:space="preserve">0,43 </w:t>
            </w:r>
          </w:p>
        </w:tc>
        <w:tc>
          <w:tcPr>
            <w:tcW w:w="854" w:type="dxa"/>
            <w:tcBorders>
              <w:top w:val="nil"/>
            </w:tcBorders>
          </w:tcPr>
          <w:p w:rsidR="00DB3624" w:rsidRPr="002513D7" w:rsidRDefault="00DB3624">
            <w:pPr>
              <w:pStyle w:val="ConsPlusNonformat"/>
              <w:jc w:val="both"/>
            </w:pPr>
            <w:r w:rsidRPr="002513D7">
              <w:t xml:space="preserve">0,63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4.3. Площадью от 6 до</w:t>
            </w:r>
          </w:p>
          <w:p w:rsidR="00DB3624" w:rsidRPr="002513D7" w:rsidRDefault="00DB3624">
            <w:pPr>
              <w:pStyle w:val="ConsPlusNonformat"/>
              <w:jc w:val="both"/>
            </w:pPr>
            <w:r w:rsidRPr="002513D7">
              <w:t>50 кв. м включительно</w:t>
            </w:r>
          </w:p>
        </w:tc>
        <w:tc>
          <w:tcPr>
            <w:tcW w:w="732" w:type="dxa"/>
            <w:tcBorders>
              <w:top w:val="nil"/>
            </w:tcBorders>
          </w:tcPr>
          <w:p w:rsidR="00DB3624" w:rsidRPr="002513D7" w:rsidRDefault="00DB3624">
            <w:pPr>
              <w:pStyle w:val="ConsPlusNonformat"/>
              <w:jc w:val="both"/>
            </w:pPr>
            <w:r w:rsidRPr="002513D7">
              <w:t>0,15</w:t>
            </w:r>
          </w:p>
        </w:tc>
        <w:tc>
          <w:tcPr>
            <w:tcW w:w="732" w:type="dxa"/>
            <w:tcBorders>
              <w:top w:val="nil"/>
            </w:tcBorders>
          </w:tcPr>
          <w:p w:rsidR="00DB3624" w:rsidRPr="002513D7" w:rsidRDefault="00DB3624">
            <w:pPr>
              <w:pStyle w:val="ConsPlusNonformat"/>
              <w:jc w:val="both"/>
            </w:pPr>
            <w:r w:rsidRPr="002513D7">
              <w:t>0,21</w:t>
            </w:r>
          </w:p>
        </w:tc>
        <w:tc>
          <w:tcPr>
            <w:tcW w:w="854" w:type="dxa"/>
            <w:tcBorders>
              <w:top w:val="nil"/>
            </w:tcBorders>
          </w:tcPr>
          <w:p w:rsidR="00DB3624" w:rsidRPr="002513D7" w:rsidRDefault="00DB3624">
            <w:pPr>
              <w:pStyle w:val="ConsPlusNonformat"/>
              <w:jc w:val="both"/>
            </w:pPr>
            <w:r w:rsidRPr="002513D7">
              <w:t xml:space="preserve">0,27 </w:t>
            </w:r>
          </w:p>
        </w:tc>
        <w:tc>
          <w:tcPr>
            <w:tcW w:w="854" w:type="dxa"/>
            <w:tcBorders>
              <w:top w:val="nil"/>
            </w:tcBorders>
          </w:tcPr>
          <w:p w:rsidR="00DB3624" w:rsidRPr="002513D7" w:rsidRDefault="00DB3624">
            <w:pPr>
              <w:pStyle w:val="ConsPlusNonformat"/>
              <w:jc w:val="both"/>
            </w:pPr>
            <w:r w:rsidRPr="002513D7">
              <w:t xml:space="preserve">0,36 </w:t>
            </w:r>
          </w:p>
        </w:tc>
        <w:tc>
          <w:tcPr>
            <w:tcW w:w="854" w:type="dxa"/>
            <w:tcBorders>
              <w:top w:val="nil"/>
            </w:tcBorders>
          </w:tcPr>
          <w:p w:rsidR="00DB3624" w:rsidRPr="002513D7" w:rsidRDefault="00DB3624">
            <w:pPr>
              <w:pStyle w:val="ConsPlusNonformat"/>
              <w:jc w:val="both"/>
            </w:pPr>
            <w:r w:rsidRPr="002513D7">
              <w:t xml:space="preserve">0,5  </w:t>
            </w:r>
          </w:p>
        </w:tc>
        <w:tc>
          <w:tcPr>
            <w:tcW w:w="854" w:type="dxa"/>
            <w:tcBorders>
              <w:top w:val="nil"/>
            </w:tcBorders>
          </w:tcPr>
          <w:p w:rsidR="00DB3624" w:rsidRPr="002513D7" w:rsidRDefault="00DB3624">
            <w:pPr>
              <w:pStyle w:val="ConsPlusNonformat"/>
              <w:jc w:val="both"/>
            </w:pPr>
            <w:r w:rsidRPr="002513D7">
              <w:t xml:space="preserve">0,72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4.4. Площадью от 4 до</w:t>
            </w:r>
          </w:p>
          <w:p w:rsidR="00DB3624" w:rsidRPr="002513D7" w:rsidRDefault="00DB3624">
            <w:pPr>
              <w:pStyle w:val="ConsPlusNonformat"/>
              <w:jc w:val="both"/>
            </w:pPr>
            <w:r w:rsidRPr="002513D7">
              <w:t xml:space="preserve">6 кв. м включительно </w:t>
            </w:r>
          </w:p>
        </w:tc>
        <w:tc>
          <w:tcPr>
            <w:tcW w:w="732" w:type="dxa"/>
            <w:tcBorders>
              <w:top w:val="nil"/>
            </w:tcBorders>
          </w:tcPr>
          <w:p w:rsidR="00DB3624" w:rsidRPr="002513D7" w:rsidRDefault="00DB3624">
            <w:pPr>
              <w:pStyle w:val="ConsPlusNonformat"/>
              <w:jc w:val="both"/>
            </w:pPr>
            <w:r w:rsidRPr="002513D7">
              <w:t>0,18</w:t>
            </w:r>
          </w:p>
        </w:tc>
        <w:tc>
          <w:tcPr>
            <w:tcW w:w="732" w:type="dxa"/>
            <w:tcBorders>
              <w:top w:val="nil"/>
            </w:tcBorders>
          </w:tcPr>
          <w:p w:rsidR="00DB3624" w:rsidRPr="002513D7" w:rsidRDefault="00DB3624">
            <w:pPr>
              <w:pStyle w:val="ConsPlusNonformat"/>
              <w:jc w:val="both"/>
            </w:pPr>
            <w:r w:rsidRPr="002513D7">
              <w:t>0,25</w:t>
            </w:r>
          </w:p>
        </w:tc>
        <w:tc>
          <w:tcPr>
            <w:tcW w:w="854" w:type="dxa"/>
            <w:tcBorders>
              <w:top w:val="nil"/>
            </w:tcBorders>
          </w:tcPr>
          <w:p w:rsidR="00DB3624" w:rsidRPr="002513D7" w:rsidRDefault="00DB3624">
            <w:pPr>
              <w:pStyle w:val="ConsPlusNonformat"/>
              <w:jc w:val="both"/>
            </w:pPr>
            <w:r w:rsidRPr="002513D7">
              <w:t xml:space="preserve">0,32 </w:t>
            </w:r>
          </w:p>
        </w:tc>
        <w:tc>
          <w:tcPr>
            <w:tcW w:w="854" w:type="dxa"/>
            <w:tcBorders>
              <w:top w:val="nil"/>
            </w:tcBorders>
          </w:tcPr>
          <w:p w:rsidR="00DB3624" w:rsidRPr="002513D7" w:rsidRDefault="00DB3624">
            <w:pPr>
              <w:pStyle w:val="ConsPlusNonformat"/>
              <w:jc w:val="both"/>
            </w:pPr>
            <w:r w:rsidRPr="002513D7">
              <w:t xml:space="preserve">0,42 </w:t>
            </w:r>
          </w:p>
        </w:tc>
        <w:tc>
          <w:tcPr>
            <w:tcW w:w="854" w:type="dxa"/>
            <w:tcBorders>
              <w:top w:val="nil"/>
            </w:tcBorders>
          </w:tcPr>
          <w:p w:rsidR="00DB3624" w:rsidRPr="002513D7" w:rsidRDefault="00DB3624">
            <w:pPr>
              <w:pStyle w:val="ConsPlusNonformat"/>
              <w:jc w:val="both"/>
            </w:pPr>
            <w:r w:rsidRPr="002513D7">
              <w:t xml:space="preserve">0,6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4.5. Площадью от 2 до</w:t>
            </w:r>
          </w:p>
          <w:p w:rsidR="00DB3624" w:rsidRPr="002513D7" w:rsidRDefault="00DB3624">
            <w:pPr>
              <w:pStyle w:val="ConsPlusNonformat"/>
              <w:jc w:val="both"/>
            </w:pPr>
            <w:r w:rsidRPr="002513D7">
              <w:t xml:space="preserve">4 кв. м включительно </w:t>
            </w:r>
          </w:p>
        </w:tc>
        <w:tc>
          <w:tcPr>
            <w:tcW w:w="732" w:type="dxa"/>
            <w:tcBorders>
              <w:top w:val="nil"/>
            </w:tcBorders>
          </w:tcPr>
          <w:p w:rsidR="00DB3624" w:rsidRPr="002513D7" w:rsidRDefault="00DB3624">
            <w:pPr>
              <w:pStyle w:val="ConsPlusNonformat"/>
              <w:jc w:val="both"/>
            </w:pPr>
            <w:r w:rsidRPr="002513D7">
              <w:t>0,27</w:t>
            </w:r>
          </w:p>
        </w:tc>
        <w:tc>
          <w:tcPr>
            <w:tcW w:w="732" w:type="dxa"/>
            <w:tcBorders>
              <w:top w:val="nil"/>
            </w:tcBorders>
          </w:tcPr>
          <w:p w:rsidR="00DB3624" w:rsidRPr="002513D7" w:rsidRDefault="00DB3624">
            <w:pPr>
              <w:pStyle w:val="ConsPlusNonformat"/>
              <w:jc w:val="both"/>
            </w:pPr>
            <w:r w:rsidRPr="002513D7">
              <w:t>0,41</w:t>
            </w:r>
          </w:p>
        </w:tc>
        <w:tc>
          <w:tcPr>
            <w:tcW w:w="854" w:type="dxa"/>
            <w:tcBorders>
              <w:top w:val="nil"/>
            </w:tcBorders>
          </w:tcPr>
          <w:p w:rsidR="00DB3624" w:rsidRPr="002513D7" w:rsidRDefault="00DB3624">
            <w:pPr>
              <w:pStyle w:val="ConsPlusNonformat"/>
              <w:jc w:val="both"/>
            </w:pPr>
            <w:r w:rsidRPr="002513D7">
              <w:t xml:space="preserve">0,53 </w:t>
            </w:r>
          </w:p>
        </w:tc>
        <w:tc>
          <w:tcPr>
            <w:tcW w:w="854" w:type="dxa"/>
            <w:tcBorders>
              <w:top w:val="nil"/>
            </w:tcBorders>
          </w:tcPr>
          <w:p w:rsidR="00DB3624" w:rsidRPr="002513D7" w:rsidRDefault="00DB3624">
            <w:pPr>
              <w:pStyle w:val="ConsPlusNonformat"/>
              <w:jc w:val="both"/>
            </w:pPr>
            <w:r w:rsidRPr="002513D7">
              <w:t xml:space="preserve">0,7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4.6. Площадью до 2   </w:t>
            </w:r>
          </w:p>
          <w:p w:rsidR="00DB3624" w:rsidRPr="002513D7" w:rsidRDefault="00DB3624">
            <w:pPr>
              <w:pStyle w:val="ConsPlusNonformat"/>
              <w:jc w:val="both"/>
            </w:pPr>
            <w:r w:rsidRPr="002513D7">
              <w:t xml:space="preserve">кв. м включительно   </w:t>
            </w:r>
          </w:p>
        </w:tc>
        <w:tc>
          <w:tcPr>
            <w:tcW w:w="732" w:type="dxa"/>
            <w:tcBorders>
              <w:top w:val="nil"/>
            </w:tcBorders>
          </w:tcPr>
          <w:p w:rsidR="00DB3624" w:rsidRPr="002513D7" w:rsidRDefault="00DB3624">
            <w:pPr>
              <w:pStyle w:val="ConsPlusNonformat"/>
              <w:jc w:val="both"/>
            </w:pPr>
            <w:r w:rsidRPr="002513D7">
              <w:t xml:space="preserve">0,8 </w:t>
            </w:r>
          </w:p>
        </w:tc>
        <w:tc>
          <w:tcPr>
            <w:tcW w:w="732"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8540" w:type="dxa"/>
            <w:gridSpan w:val="8"/>
            <w:tcBorders>
              <w:top w:val="nil"/>
            </w:tcBorders>
          </w:tcPr>
          <w:p w:rsidR="00DB3624" w:rsidRPr="002513D7" w:rsidRDefault="00DB3624">
            <w:pPr>
              <w:pStyle w:val="ConsPlusNonformat"/>
              <w:jc w:val="both"/>
            </w:pPr>
            <w:r w:rsidRPr="002513D7">
              <w:t xml:space="preserve">5. Товары, перечисленные в </w:t>
            </w:r>
            <w:hyperlink w:anchor="P201" w:history="1">
              <w:r w:rsidRPr="002513D7">
                <w:t>пункте 4</w:t>
              </w:r>
            </w:hyperlink>
            <w:r w:rsidRPr="002513D7">
              <w:t xml:space="preserve"> настоящей таблицы, а     </w:t>
            </w:r>
          </w:p>
          <w:p w:rsidR="00DB3624" w:rsidRPr="002513D7" w:rsidRDefault="00DB3624">
            <w:pPr>
              <w:pStyle w:val="ConsPlusNonformat"/>
              <w:jc w:val="both"/>
            </w:pPr>
            <w:r w:rsidRPr="002513D7">
              <w:t xml:space="preserve">также иные товары (при условии, что доходы от реализации     </w:t>
            </w:r>
          </w:p>
          <w:p w:rsidR="00DB3624" w:rsidRPr="002513D7" w:rsidRDefault="00DB3624">
            <w:pPr>
              <w:pStyle w:val="ConsPlusNonformat"/>
              <w:jc w:val="both"/>
            </w:pPr>
            <w:r w:rsidRPr="002513D7">
              <w:t xml:space="preserve">иных товаров составляют не более 30 процентов от общего      </w:t>
            </w:r>
          </w:p>
          <w:p w:rsidR="00DB3624" w:rsidRPr="002513D7" w:rsidRDefault="00DB3624">
            <w:pPr>
              <w:pStyle w:val="ConsPlusNonformat"/>
              <w:jc w:val="both"/>
            </w:pPr>
            <w:r w:rsidRPr="002513D7">
              <w:t xml:space="preserve">товарооборота)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5.1. Площадью от 100 </w:t>
            </w:r>
          </w:p>
          <w:p w:rsidR="00DB3624" w:rsidRPr="002513D7" w:rsidRDefault="00DB3624">
            <w:pPr>
              <w:pStyle w:val="ConsPlusNonformat"/>
              <w:jc w:val="both"/>
            </w:pPr>
            <w:r w:rsidRPr="002513D7">
              <w:t xml:space="preserve">до 150 кв. м         </w:t>
            </w:r>
          </w:p>
          <w:p w:rsidR="00DB3624" w:rsidRPr="002513D7" w:rsidRDefault="00DB3624">
            <w:pPr>
              <w:pStyle w:val="ConsPlusNonformat"/>
              <w:jc w:val="both"/>
            </w:pPr>
            <w:r w:rsidRPr="002513D7">
              <w:t xml:space="preserve">включительно         </w:t>
            </w:r>
          </w:p>
        </w:tc>
        <w:tc>
          <w:tcPr>
            <w:tcW w:w="732" w:type="dxa"/>
            <w:tcBorders>
              <w:top w:val="nil"/>
            </w:tcBorders>
          </w:tcPr>
          <w:p w:rsidR="00DB3624" w:rsidRPr="002513D7" w:rsidRDefault="00DB3624">
            <w:pPr>
              <w:pStyle w:val="ConsPlusNonformat"/>
              <w:jc w:val="both"/>
            </w:pPr>
            <w:r w:rsidRPr="002513D7">
              <w:t>0,14</w:t>
            </w:r>
          </w:p>
        </w:tc>
        <w:tc>
          <w:tcPr>
            <w:tcW w:w="732" w:type="dxa"/>
            <w:tcBorders>
              <w:top w:val="nil"/>
            </w:tcBorders>
          </w:tcPr>
          <w:p w:rsidR="00DB3624" w:rsidRPr="002513D7" w:rsidRDefault="00DB3624">
            <w:pPr>
              <w:pStyle w:val="ConsPlusNonformat"/>
              <w:jc w:val="both"/>
            </w:pPr>
            <w:r w:rsidRPr="002513D7">
              <w:t>0,23</w:t>
            </w:r>
          </w:p>
        </w:tc>
        <w:tc>
          <w:tcPr>
            <w:tcW w:w="854" w:type="dxa"/>
            <w:tcBorders>
              <w:top w:val="nil"/>
            </w:tcBorders>
          </w:tcPr>
          <w:p w:rsidR="00DB3624" w:rsidRPr="002513D7" w:rsidRDefault="00DB3624">
            <w:pPr>
              <w:pStyle w:val="ConsPlusNonformat"/>
              <w:jc w:val="both"/>
            </w:pPr>
            <w:r w:rsidRPr="002513D7">
              <w:t xml:space="preserve">0,29 </w:t>
            </w:r>
          </w:p>
        </w:tc>
        <w:tc>
          <w:tcPr>
            <w:tcW w:w="854" w:type="dxa"/>
            <w:tcBorders>
              <w:top w:val="nil"/>
            </w:tcBorders>
          </w:tcPr>
          <w:p w:rsidR="00DB3624" w:rsidRPr="002513D7" w:rsidRDefault="00DB3624">
            <w:pPr>
              <w:pStyle w:val="ConsPlusNonformat"/>
              <w:jc w:val="both"/>
            </w:pPr>
            <w:r w:rsidRPr="002513D7">
              <w:t xml:space="preserve">0,38 </w:t>
            </w:r>
          </w:p>
        </w:tc>
        <w:tc>
          <w:tcPr>
            <w:tcW w:w="854" w:type="dxa"/>
            <w:tcBorders>
              <w:top w:val="nil"/>
            </w:tcBorders>
          </w:tcPr>
          <w:p w:rsidR="00DB3624" w:rsidRPr="002513D7" w:rsidRDefault="00DB3624">
            <w:pPr>
              <w:pStyle w:val="ConsPlusNonformat"/>
              <w:jc w:val="both"/>
            </w:pPr>
            <w:r w:rsidRPr="002513D7">
              <w:t xml:space="preserve">0,5  </w:t>
            </w:r>
          </w:p>
        </w:tc>
        <w:tc>
          <w:tcPr>
            <w:tcW w:w="854" w:type="dxa"/>
            <w:tcBorders>
              <w:top w:val="nil"/>
            </w:tcBorders>
          </w:tcPr>
          <w:p w:rsidR="00DB3624" w:rsidRPr="002513D7" w:rsidRDefault="00DB3624">
            <w:pPr>
              <w:pStyle w:val="ConsPlusNonformat"/>
              <w:jc w:val="both"/>
            </w:pPr>
            <w:r w:rsidRPr="002513D7">
              <w:t xml:space="preserve">0,65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5.2. Площадью от 50  </w:t>
            </w:r>
          </w:p>
          <w:p w:rsidR="00DB3624" w:rsidRPr="002513D7" w:rsidRDefault="00DB3624">
            <w:pPr>
              <w:pStyle w:val="ConsPlusNonformat"/>
              <w:jc w:val="both"/>
            </w:pPr>
            <w:r w:rsidRPr="002513D7">
              <w:t xml:space="preserve">до 100 кв. м         </w:t>
            </w:r>
          </w:p>
          <w:p w:rsidR="00DB3624" w:rsidRPr="002513D7" w:rsidRDefault="00DB3624">
            <w:pPr>
              <w:pStyle w:val="ConsPlusNonformat"/>
              <w:jc w:val="both"/>
            </w:pPr>
            <w:r w:rsidRPr="002513D7">
              <w:t xml:space="preserve">включительно         </w:t>
            </w:r>
          </w:p>
        </w:tc>
        <w:tc>
          <w:tcPr>
            <w:tcW w:w="732" w:type="dxa"/>
            <w:tcBorders>
              <w:top w:val="nil"/>
            </w:tcBorders>
          </w:tcPr>
          <w:p w:rsidR="00DB3624" w:rsidRPr="002513D7" w:rsidRDefault="00DB3624">
            <w:pPr>
              <w:pStyle w:val="ConsPlusNonformat"/>
              <w:jc w:val="both"/>
            </w:pPr>
            <w:r w:rsidRPr="002513D7">
              <w:t>0,16</w:t>
            </w:r>
          </w:p>
        </w:tc>
        <w:tc>
          <w:tcPr>
            <w:tcW w:w="732" w:type="dxa"/>
            <w:tcBorders>
              <w:top w:val="nil"/>
            </w:tcBorders>
          </w:tcPr>
          <w:p w:rsidR="00DB3624" w:rsidRPr="002513D7" w:rsidRDefault="00DB3624">
            <w:pPr>
              <w:pStyle w:val="ConsPlusNonformat"/>
              <w:jc w:val="both"/>
            </w:pPr>
            <w:r w:rsidRPr="002513D7">
              <w:t>0,25</w:t>
            </w:r>
          </w:p>
        </w:tc>
        <w:tc>
          <w:tcPr>
            <w:tcW w:w="854" w:type="dxa"/>
            <w:tcBorders>
              <w:top w:val="nil"/>
            </w:tcBorders>
          </w:tcPr>
          <w:p w:rsidR="00DB3624" w:rsidRPr="002513D7" w:rsidRDefault="00DB3624">
            <w:pPr>
              <w:pStyle w:val="ConsPlusNonformat"/>
              <w:jc w:val="both"/>
            </w:pPr>
            <w:r w:rsidRPr="002513D7">
              <w:t xml:space="preserve">0,3  </w:t>
            </w:r>
          </w:p>
        </w:tc>
        <w:tc>
          <w:tcPr>
            <w:tcW w:w="854" w:type="dxa"/>
            <w:tcBorders>
              <w:top w:val="nil"/>
            </w:tcBorders>
          </w:tcPr>
          <w:p w:rsidR="00DB3624" w:rsidRPr="002513D7" w:rsidRDefault="00DB3624">
            <w:pPr>
              <w:pStyle w:val="ConsPlusNonformat"/>
              <w:jc w:val="both"/>
            </w:pPr>
            <w:r w:rsidRPr="002513D7">
              <w:t xml:space="preserve">0,4  </w:t>
            </w:r>
          </w:p>
        </w:tc>
        <w:tc>
          <w:tcPr>
            <w:tcW w:w="854" w:type="dxa"/>
            <w:tcBorders>
              <w:top w:val="nil"/>
            </w:tcBorders>
          </w:tcPr>
          <w:p w:rsidR="00DB3624" w:rsidRPr="002513D7" w:rsidRDefault="00DB3624">
            <w:pPr>
              <w:pStyle w:val="ConsPlusNonformat"/>
              <w:jc w:val="both"/>
            </w:pPr>
            <w:r w:rsidRPr="002513D7">
              <w:t xml:space="preserve">0,6  </w:t>
            </w:r>
          </w:p>
        </w:tc>
        <w:tc>
          <w:tcPr>
            <w:tcW w:w="854" w:type="dxa"/>
            <w:tcBorders>
              <w:top w:val="nil"/>
            </w:tcBorders>
          </w:tcPr>
          <w:p w:rsidR="00DB3624" w:rsidRPr="002513D7" w:rsidRDefault="00DB3624">
            <w:pPr>
              <w:pStyle w:val="ConsPlusNonformat"/>
              <w:jc w:val="both"/>
            </w:pPr>
            <w:r w:rsidRPr="002513D7">
              <w:t xml:space="preserve">0,75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5.3. Площадью от 6 до</w:t>
            </w:r>
          </w:p>
          <w:p w:rsidR="00DB3624" w:rsidRPr="002513D7" w:rsidRDefault="00DB3624">
            <w:pPr>
              <w:pStyle w:val="ConsPlusNonformat"/>
              <w:jc w:val="both"/>
            </w:pPr>
            <w:r w:rsidRPr="002513D7">
              <w:t>50 кв. м включительно</w:t>
            </w:r>
          </w:p>
        </w:tc>
        <w:tc>
          <w:tcPr>
            <w:tcW w:w="732" w:type="dxa"/>
            <w:tcBorders>
              <w:top w:val="nil"/>
            </w:tcBorders>
          </w:tcPr>
          <w:p w:rsidR="00DB3624" w:rsidRPr="002513D7" w:rsidRDefault="00DB3624">
            <w:pPr>
              <w:pStyle w:val="ConsPlusNonformat"/>
              <w:jc w:val="both"/>
            </w:pPr>
            <w:r w:rsidRPr="002513D7">
              <w:t>0,17</w:t>
            </w:r>
          </w:p>
        </w:tc>
        <w:tc>
          <w:tcPr>
            <w:tcW w:w="732" w:type="dxa"/>
            <w:tcBorders>
              <w:top w:val="nil"/>
            </w:tcBorders>
          </w:tcPr>
          <w:p w:rsidR="00DB3624" w:rsidRPr="002513D7" w:rsidRDefault="00DB3624">
            <w:pPr>
              <w:pStyle w:val="ConsPlusNonformat"/>
              <w:jc w:val="both"/>
            </w:pPr>
            <w:r w:rsidRPr="002513D7">
              <w:t>0,26</w:t>
            </w:r>
          </w:p>
        </w:tc>
        <w:tc>
          <w:tcPr>
            <w:tcW w:w="854" w:type="dxa"/>
            <w:tcBorders>
              <w:top w:val="nil"/>
            </w:tcBorders>
          </w:tcPr>
          <w:p w:rsidR="00DB3624" w:rsidRPr="002513D7" w:rsidRDefault="00DB3624">
            <w:pPr>
              <w:pStyle w:val="ConsPlusNonformat"/>
              <w:jc w:val="both"/>
            </w:pPr>
            <w:r w:rsidRPr="002513D7">
              <w:t xml:space="preserve">0,32 </w:t>
            </w:r>
          </w:p>
        </w:tc>
        <w:tc>
          <w:tcPr>
            <w:tcW w:w="854" w:type="dxa"/>
            <w:tcBorders>
              <w:top w:val="nil"/>
            </w:tcBorders>
          </w:tcPr>
          <w:p w:rsidR="00DB3624" w:rsidRPr="002513D7" w:rsidRDefault="00DB3624">
            <w:pPr>
              <w:pStyle w:val="ConsPlusNonformat"/>
              <w:jc w:val="both"/>
            </w:pPr>
            <w:r w:rsidRPr="002513D7">
              <w:t xml:space="preserve">0,42 </w:t>
            </w:r>
          </w:p>
        </w:tc>
        <w:tc>
          <w:tcPr>
            <w:tcW w:w="854" w:type="dxa"/>
            <w:tcBorders>
              <w:top w:val="nil"/>
            </w:tcBorders>
          </w:tcPr>
          <w:p w:rsidR="00DB3624" w:rsidRPr="002513D7" w:rsidRDefault="00DB3624">
            <w:pPr>
              <w:pStyle w:val="ConsPlusNonformat"/>
              <w:jc w:val="both"/>
            </w:pPr>
            <w:r w:rsidRPr="002513D7">
              <w:t xml:space="preserve">0,65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5.4. Площадью от 4 до</w:t>
            </w:r>
          </w:p>
          <w:p w:rsidR="00DB3624" w:rsidRPr="002513D7" w:rsidRDefault="00DB3624">
            <w:pPr>
              <w:pStyle w:val="ConsPlusNonformat"/>
              <w:jc w:val="both"/>
            </w:pPr>
            <w:r w:rsidRPr="002513D7">
              <w:t xml:space="preserve">6 кв. м включительно </w:t>
            </w:r>
          </w:p>
        </w:tc>
        <w:tc>
          <w:tcPr>
            <w:tcW w:w="732" w:type="dxa"/>
            <w:tcBorders>
              <w:top w:val="nil"/>
            </w:tcBorders>
          </w:tcPr>
          <w:p w:rsidR="00DB3624" w:rsidRPr="002513D7" w:rsidRDefault="00DB3624">
            <w:pPr>
              <w:pStyle w:val="ConsPlusNonformat"/>
              <w:jc w:val="both"/>
            </w:pPr>
            <w:r w:rsidRPr="002513D7">
              <w:t>0,19</w:t>
            </w:r>
          </w:p>
        </w:tc>
        <w:tc>
          <w:tcPr>
            <w:tcW w:w="732" w:type="dxa"/>
            <w:tcBorders>
              <w:top w:val="nil"/>
            </w:tcBorders>
          </w:tcPr>
          <w:p w:rsidR="00DB3624" w:rsidRPr="002513D7" w:rsidRDefault="00DB3624">
            <w:pPr>
              <w:pStyle w:val="ConsPlusNonformat"/>
              <w:jc w:val="both"/>
            </w:pPr>
            <w:r w:rsidRPr="002513D7">
              <w:t xml:space="preserve">0,3 </w:t>
            </w:r>
          </w:p>
        </w:tc>
        <w:tc>
          <w:tcPr>
            <w:tcW w:w="854" w:type="dxa"/>
            <w:tcBorders>
              <w:top w:val="nil"/>
            </w:tcBorders>
          </w:tcPr>
          <w:p w:rsidR="00DB3624" w:rsidRPr="002513D7" w:rsidRDefault="00DB3624">
            <w:pPr>
              <w:pStyle w:val="ConsPlusNonformat"/>
              <w:jc w:val="both"/>
            </w:pPr>
            <w:r w:rsidRPr="002513D7">
              <w:t xml:space="preserve">0,38 </w:t>
            </w:r>
          </w:p>
        </w:tc>
        <w:tc>
          <w:tcPr>
            <w:tcW w:w="854" w:type="dxa"/>
            <w:tcBorders>
              <w:top w:val="nil"/>
            </w:tcBorders>
          </w:tcPr>
          <w:p w:rsidR="00DB3624" w:rsidRPr="002513D7" w:rsidRDefault="00DB3624">
            <w:pPr>
              <w:pStyle w:val="ConsPlusNonformat"/>
              <w:jc w:val="both"/>
            </w:pPr>
            <w:r w:rsidRPr="002513D7">
              <w:t xml:space="preserve">0,5  </w:t>
            </w:r>
          </w:p>
        </w:tc>
        <w:tc>
          <w:tcPr>
            <w:tcW w:w="854" w:type="dxa"/>
            <w:tcBorders>
              <w:top w:val="nil"/>
            </w:tcBorders>
          </w:tcPr>
          <w:p w:rsidR="00DB3624" w:rsidRPr="002513D7" w:rsidRDefault="00DB3624">
            <w:pPr>
              <w:pStyle w:val="ConsPlusNonformat"/>
              <w:jc w:val="both"/>
            </w:pPr>
            <w:r w:rsidRPr="002513D7">
              <w:t xml:space="preserve">0,77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5.5. Площадью от 2 до</w:t>
            </w:r>
          </w:p>
          <w:p w:rsidR="00DB3624" w:rsidRPr="002513D7" w:rsidRDefault="00DB3624">
            <w:pPr>
              <w:pStyle w:val="ConsPlusNonformat"/>
              <w:jc w:val="both"/>
            </w:pPr>
            <w:r w:rsidRPr="002513D7">
              <w:t xml:space="preserve">4 кв. м включительно </w:t>
            </w:r>
          </w:p>
        </w:tc>
        <w:tc>
          <w:tcPr>
            <w:tcW w:w="732" w:type="dxa"/>
            <w:tcBorders>
              <w:top w:val="nil"/>
            </w:tcBorders>
          </w:tcPr>
          <w:p w:rsidR="00DB3624" w:rsidRPr="002513D7" w:rsidRDefault="00DB3624">
            <w:pPr>
              <w:pStyle w:val="ConsPlusNonformat"/>
              <w:jc w:val="both"/>
            </w:pPr>
            <w:r w:rsidRPr="002513D7">
              <w:t>0,33</w:t>
            </w:r>
          </w:p>
        </w:tc>
        <w:tc>
          <w:tcPr>
            <w:tcW w:w="732" w:type="dxa"/>
            <w:tcBorders>
              <w:top w:val="nil"/>
            </w:tcBorders>
          </w:tcPr>
          <w:p w:rsidR="00DB3624" w:rsidRPr="002513D7" w:rsidRDefault="00DB3624">
            <w:pPr>
              <w:pStyle w:val="ConsPlusNonformat"/>
              <w:jc w:val="both"/>
            </w:pPr>
            <w:r w:rsidRPr="002513D7">
              <w:t>0,51</w:t>
            </w:r>
          </w:p>
        </w:tc>
        <w:tc>
          <w:tcPr>
            <w:tcW w:w="854" w:type="dxa"/>
            <w:tcBorders>
              <w:top w:val="nil"/>
            </w:tcBorders>
          </w:tcPr>
          <w:p w:rsidR="00DB3624" w:rsidRPr="002513D7" w:rsidRDefault="00DB3624">
            <w:pPr>
              <w:pStyle w:val="ConsPlusNonformat"/>
              <w:jc w:val="both"/>
            </w:pPr>
            <w:r w:rsidRPr="002513D7">
              <w:t xml:space="preserve">0,65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5.6. Площадью до 2   </w:t>
            </w:r>
          </w:p>
          <w:p w:rsidR="00DB3624" w:rsidRPr="002513D7" w:rsidRDefault="00DB3624">
            <w:pPr>
              <w:pStyle w:val="ConsPlusNonformat"/>
              <w:jc w:val="both"/>
            </w:pPr>
            <w:r w:rsidRPr="002513D7">
              <w:t xml:space="preserve">кв. м включительно   </w:t>
            </w:r>
          </w:p>
        </w:tc>
        <w:tc>
          <w:tcPr>
            <w:tcW w:w="732" w:type="dxa"/>
            <w:tcBorders>
              <w:top w:val="nil"/>
            </w:tcBorders>
          </w:tcPr>
          <w:p w:rsidR="00DB3624" w:rsidRPr="002513D7" w:rsidRDefault="00DB3624">
            <w:pPr>
              <w:pStyle w:val="ConsPlusNonformat"/>
              <w:jc w:val="both"/>
            </w:pPr>
            <w:r w:rsidRPr="002513D7">
              <w:t xml:space="preserve">0,8 </w:t>
            </w:r>
          </w:p>
        </w:tc>
        <w:tc>
          <w:tcPr>
            <w:tcW w:w="732"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8540" w:type="dxa"/>
            <w:gridSpan w:val="8"/>
            <w:tcBorders>
              <w:top w:val="nil"/>
            </w:tcBorders>
          </w:tcPr>
          <w:p w:rsidR="00DB3624" w:rsidRPr="002513D7" w:rsidRDefault="00DB3624">
            <w:pPr>
              <w:pStyle w:val="ConsPlusNonformat"/>
              <w:jc w:val="both"/>
            </w:pPr>
            <w:r w:rsidRPr="002513D7">
              <w:t xml:space="preserve">6. Прочие виды товаров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6.1. Площадью от 100 </w:t>
            </w:r>
          </w:p>
          <w:p w:rsidR="00DB3624" w:rsidRPr="002513D7" w:rsidRDefault="00DB3624">
            <w:pPr>
              <w:pStyle w:val="ConsPlusNonformat"/>
              <w:jc w:val="both"/>
            </w:pPr>
            <w:r w:rsidRPr="002513D7">
              <w:t xml:space="preserve">до 150 кв. м         </w:t>
            </w:r>
          </w:p>
          <w:p w:rsidR="00DB3624" w:rsidRPr="002513D7" w:rsidRDefault="00DB3624">
            <w:pPr>
              <w:pStyle w:val="ConsPlusNonformat"/>
              <w:jc w:val="both"/>
            </w:pPr>
            <w:r w:rsidRPr="002513D7">
              <w:t xml:space="preserve">включительно         </w:t>
            </w:r>
          </w:p>
        </w:tc>
        <w:tc>
          <w:tcPr>
            <w:tcW w:w="732" w:type="dxa"/>
            <w:tcBorders>
              <w:top w:val="nil"/>
            </w:tcBorders>
          </w:tcPr>
          <w:p w:rsidR="00DB3624" w:rsidRPr="002513D7" w:rsidRDefault="00DB3624">
            <w:pPr>
              <w:pStyle w:val="ConsPlusNonformat"/>
              <w:jc w:val="both"/>
            </w:pPr>
            <w:r w:rsidRPr="002513D7">
              <w:t>0,19</w:t>
            </w:r>
          </w:p>
        </w:tc>
        <w:tc>
          <w:tcPr>
            <w:tcW w:w="732" w:type="dxa"/>
            <w:tcBorders>
              <w:top w:val="nil"/>
            </w:tcBorders>
          </w:tcPr>
          <w:p w:rsidR="00DB3624" w:rsidRPr="002513D7" w:rsidRDefault="00DB3624">
            <w:pPr>
              <w:pStyle w:val="ConsPlusNonformat"/>
              <w:jc w:val="both"/>
            </w:pPr>
            <w:r w:rsidRPr="002513D7">
              <w:t>0,25</w:t>
            </w:r>
          </w:p>
        </w:tc>
        <w:tc>
          <w:tcPr>
            <w:tcW w:w="854" w:type="dxa"/>
            <w:tcBorders>
              <w:top w:val="nil"/>
            </w:tcBorders>
          </w:tcPr>
          <w:p w:rsidR="00DB3624" w:rsidRPr="002513D7" w:rsidRDefault="00DB3624">
            <w:pPr>
              <w:pStyle w:val="ConsPlusNonformat"/>
              <w:jc w:val="both"/>
            </w:pPr>
            <w:r w:rsidRPr="002513D7">
              <w:t xml:space="preserve">0,32 </w:t>
            </w:r>
          </w:p>
        </w:tc>
        <w:tc>
          <w:tcPr>
            <w:tcW w:w="854" w:type="dxa"/>
            <w:tcBorders>
              <w:top w:val="nil"/>
            </w:tcBorders>
          </w:tcPr>
          <w:p w:rsidR="00DB3624" w:rsidRPr="002513D7" w:rsidRDefault="00DB3624">
            <w:pPr>
              <w:pStyle w:val="ConsPlusNonformat"/>
              <w:jc w:val="both"/>
            </w:pPr>
            <w:r w:rsidRPr="002513D7">
              <w:t xml:space="preserve">0,4  </w:t>
            </w:r>
          </w:p>
        </w:tc>
        <w:tc>
          <w:tcPr>
            <w:tcW w:w="854" w:type="dxa"/>
            <w:tcBorders>
              <w:top w:val="nil"/>
            </w:tcBorders>
          </w:tcPr>
          <w:p w:rsidR="00DB3624" w:rsidRPr="002513D7" w:rsidRDefault="00DB3624">
            <w:pPr>
              <w:pStyle w:val="ConsPlusNonformat"/>
              <w:jc w:val="both"/>
            </w:pPr>
            <w:r w:rsidRPr="002513D7">
              <w:t xml:space="preserve">0,52 </w:t>
            </w:r>
          </w:p>
        </w:tc>
        <w:tc>
          <w:tcPr>
            <w:tcW w:w="854" w:type="dxa"/>
            <w:tcBorders>
              <w:top w:val="nil"/>
            </w:tcBorders>
          </w:tcPr>
          <w:p w:rsidR="00DB3624" w:rsidRPr="002513D7" w:rsidRDefault="00DB3624">
            <w:pPr>
              <w:pStyle w:val="ConsPlusNonformat"/>
              <w:jc w:val="both"/>
            </w:pPr>
            <w:r w:rsidRPr="002513D7">
              <w:t xml:space="preserve">0,69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6.2. Площадью от 50  </w:t>
            </w:r>
          </w:p>
          <w:p w:rsidR="00DB3624" w:rsidRPr="002513D7" w:rsidRDefault="00DB3624">
            <w:pPr>
              <w:pStyle w:val="ConsPlusNonformat"/>
              <w:jc w:val="both"/>
            </w:pPr>
            <w:r w:rsidRPr="002513D7">
              <w:t xml:space="preserve">до 100 кв. м         </w:t>
            </w:r>
          </w:p>
          <w:p w:rsidR="00DB3624" w:rsidRPr="002513D7" w:rsidRDefault="00DB3624">
            <w:pPr>
              <w:pStyle w:val="ConsPlusNonformat"/>
              <w:jc w:val="both"/>
            </w:pPr>
            <w:r w:rsidRPr="002513D7">
              <w:t xml:space="preserve">включительно         </w:t>
            </w:r>
          </w:p>
        </w:tc>
        <w:tc>
          <w:tcPr>
            <w:tcW w:w="732" w:type="dxa"/>
            <w:tcBorders>
              <w:top w:val="nil"/>
            </w:tcBorders>
          </w:tcPr>
          <w:p w:rsidR="00DB3624" w:rsidRPr="002513D7" w:rsidRDefault="00DB3624">
            <w:pPr>
              <w:pStyle w:val="ConsPlusNonformat"/>
              <w:jc w:val="both"/>
            </w:pPr>
            <w:r w:rsidRPr="002513D7">
              <w:t xml:space="preserve">0,2 </w:t>
            </w:r>
          </w:p>
        </w:tc>
        <w:tc>
          <w:tcPr>
            <w:tcW w:w="732" w:type="dxa"/>
            <w:tcBorders>
              <w:top w:val="nil"/>
            </w:tcBorders>
          </w:tcPr>
          <w:p w:rsidR="00DB3624" w:rsidRPr="002513D7" w:rsidRDefault="00DB3624">
            <w:pPr>
              <w:pStyle w:val="ConsPlusNonformat"/>
              <w:jc w:val="both"/>
            </w:pPr>
            <w:r w:rsidRPr="002513D7">
              <w:t>0,27</w:t>
            </w:r>
          </w:p>
        </w:tc>
        <w:tc>
          <w:tcPr>
            <w:tcW w:w="854" w:type="dxa"/>
            <w:tcBorders>
              <w:top w:val="nil"/>
            </w:tcBorders>
          </w:tcPr>
          <w:p w:rsidR="00DB3624" w:rsidRPr="002513D7" w:rsidRDefault="00DB3624">
            <w:pPr>
              <w:pStyle w:val="ConsPlusNonformat"/>
              <w:jc w:val="both"/>
            </w:pPr>
            <w:r w:rsidRPr="002513D7">
              <w:t xml:space="preserve">0,34 </w:t>
            </w:r>
          </w:p>
        </w:tc>
        <w:tc>
          <w:tcPr>
            <w:tcW w:w="854" w:type="dxa"/>
            <w:tcBorders>
              <w:top w:val="nil"/>
            </w:tcBorders>
          </w:tcPr>
          <w:p w:rsidR="00DB3624" w:rsidRPr="002513D7" w:rsidRDefault="00DB3624">
            <w:pPr>
              <w:pStyle w:val="ConsPlusNonformat"/>
              <w:jc w:val="both"/>
            </w:pPr>
            <w:r w:rsidRPr="002513D7">
              <w:t xml:space="preserve">0,42 </w:t>
            </w:r>
          </w:p>
        </w:tc>
        <w:tc>
          <w:tcPr>
            <w:tcW w:w="854" w:type="dxa"/>
            <w:tcBorders>
              <w:top w:val="nil"/>
            </w:tcBorders>
          </w:tcPr>
          <w:p w:rsidR="00DB3624" w:rsidRPr="002513D7" w:rsidRDefault="00DB3624">
            <w:pPr>
              <w:pStyle w:val="ConsPlusNonformat"/>
              <w:jc w:val="both"/>
            </w:pPr>
            <w:r w:rsidRPr="002513D7">
              <w:t xml:space="preserve">0,63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6.3. Площадью от 6 до</w:t>
            </w:r>
          </w:p>
          <w:p w:rsidR="00DB3624" w:rsidRPr="002513D7" w:rsidRDefault="00DB3624">
            <w:pPr>
              <w:pStyle w:val="ConsPlusNonformat"/>
              <w:jc w:val="both"/>
            </w:pPr>
            <w:r w:rsidRPr="002513D7">
              <w:t>50 кв. м включительно</w:t>
            </w:r>
          </w:p>
        </w:tc>
        <w:tc>
          <w:tcPr>
            <w:tcW w:w="732" w:type="dxa"/>
            <w:tcBorders>
              <w:top w:val="nil"/>
            </w:tcBorders>
          </w:tcPr>
          <w:p w:rsidR="00DB3624" w:rsidRPr="002513D7" w:rsidRDefault="00DB3624">
            <w:pPr>
              <w:pStyle w:val="ConsPlusNonformat"/>
              <w:jc w:val="both"/>
            </w:pPr>
            <w:r w:rsidRPr="002513D7">
              <w:t>0,22</w:t>
            </w:r>
          </w:p>
        </w:tc>
        <w:tc>
          <w:tcPr>
            <w:tcW w:w="732" w:type="dxa"/>
            <w:tcBorders>
              <w:top w:val="nil"/>
            </w:tcBorders>
          </w:tcPr>
          <w:p w:rsidR="00DB3624" w:rsidRPr="002513D7" w:rsidRDefault="00DB3624">
            <w:pPr>
              <w:pStyle w:val="ConsPlusNonformat"/>
              <w:jc w:val="both"/>
            </w:pPr>
            <w:r w:rsidRPr="002513D7">
              <w:t>0,29</w:t>
            </w:r>
          </w:p>
        </w:tc>
        <w:tc>
          <w:tcPr>
            <w:tcW w:w="854" w:type="dxa"/>
            <w:tcBorders>
              <w:top w:val="nil"/>
            </w:tcBorders>
          </w:tcPr>
          <w:p w:rsidR="00DB3624" w:rsidRPr="002513D7" w:rsidRDefault="00DB3624">
            <w:pPr>
              <w:pStyle w:val="ConsPlusNonformat"/>
              <w:jc w:val="both"/>
            </w:pPr>
            <w:r w:rsidRPr="002513D7">
              <w:t xml:space="preserve">0,36 </w:t>
            </w:r>
          </w:p>
        </w:tc>
        <w:tc>
          <w:tcPr>
            <w:tcW w:w="854" w:type="dxa"/>
            <w:tcBorders>
              <w:top w:val="nil"/>
            </w:tcBorders>
          </w:tcPr>
          <w:p w:rsidR="00DB3624" w:rsidRPr="002513D7" w:rsidRDefault="00DB3624">
            <w:pPr>
              <w:pStyle w:val="ConsPlusNonformat"/>
              <w:jc w:val="both"/>
            </w:pPr>
            <w:r w:rsidRPr="002513D7">
              <w:t xml:space="preserve">0,44 </w:t>
            </w:r>
          </w:p>
        </w:tc>
        <w:tc>
          <w:tcPr>
            <w:tcW w:w="854" w:type="dxa"/>
            <w:tcBorders>
              <w:top w:val="nil"/>
            </w:tcBorders>
          </w:tcPr>
          <w:p w:rsidR="00DB3624" w:rsidRPr="002513D7" w:rsidRDefault="00DB3624">
            <w:pPr>
              <w:pStyle w:val="ConsPlusNonformat"/>
              <w:jc w:val="both"/>
            </w:pPr>
            <w:r w:rsidRPr="002513D7">
              <w:t xml:space="preserve">0,62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6.4. Площадью от 4 до</w:t>
            </w:r>
          </w:p>
          <w:p w:rsidR="00DB3624" w:rsidRPr="002513D7" w:rsidRDefault="00DB3624">
            <w:pPr>
              <w:pStyle w:val="ConsPlusNonformat"/>
              <w:jc w:val="both"/>
            </w:pPr>
            <w:r w:rsidRPr="002513D7">
              <w:t xml:space="preserve">6 кв. м включительно </w:t>
            </w:r>
          </w:p>
        </w:tc>
        <w:tc>
          <w:tcPr>
            <w:tcW w:w="732" w:type="dxa"/>
            <w:tcBorders>
              <w:top w:val="nil"/>
            </w:tcBorders>
          </w:tcPr>
          <w:p w:rsidR="00DB3624" w:rsidRPr="002513D7" w:rsidRDefault="00DB3624">
            <w:pPr>
              <w:pStyle w:val="ConsPlusNonformat"/>
              <w:jc w:val="both"/>
            </w:pPr>
            <w:r w:rsidRPr="002513D7">
              <w:t>0,24</w:t>
            </w:r>
          </w:p>
        </w:tc>
        <w:tc>
          <w:tcPr>
            <w:tcW w:w="732" w:type="dxa"/>
            <w:tcBorders>
              <w:top w:val="nil"/>
            </w:tcBorders>
          </w:tcPr>
          <w:p w:rsidR="00DB3624" w:rsidRPr="002513D7" w:rsidRDefault="00DB3624">
            <w:pPr>
              <w:pStyle w:val="ConsPlusNonformat"/>
              <w:jc w:val="both"/>
            </w:pPr>
            <w:r w:rsidRPr="002513D7">
              <w:t>0,33</w:t>
            </w:r>
          </w:p>
        </w:tc>
        <w:tc>
          <w:tcPr>
            <w:tcW w:w="854" w:type="dxa"/>
            <w:tcBorders>
              <w:top w:val="nil"/>
            </w:tcBorders>
          </w:tcPr>
          <w:p w:rsidR="00DB3624" w:rsidRPr="002513D7" w:rsidRDefault="00DB3624">
            <w:pPr>
              <w:pStyle w:val="ConsPlusNonformat"/>
              <w:jc w:val="both"/>
            </w:pPr>
            <w:r w:rsidRPr="002513D7">
              <w:t xml:space="preserve">0,42 </w:t>
            </w:r>
          </w:p>
        </w:tc>
        <w:tc>
          <w:tcPr>
            <w:tcW w:w="854" w:type="dxa"/>
            <w:tcBorders>
              <w:top w:val="nil"/>
            </w:tcBorders>
          </w:tcPr>
          <w:p w:rsidR="00DB3624" w:rsidRPr="002513D7" w:rsidRDefault="00DB3624">
            <w:pPr>
              <w:pStyle w:val="ConsPlusNonformat"/>
              <w:jc w:val="both"/>
            </w:pPr>
            <w:r w:rsidRPr="002513D7">
              <w:t xml:space="preserve">0,52 </w:t>
            </w:r>
          </w:p>
        </w:tc>
        <w:tc>
          <w:tcPr>
            <w:tcW w:w="854" w:type="dxa"/>
            <w:tcBorders>
              <w:top w:val="nil"/>
            </w:tcBorders>
          </w:tcPr>
          <w:p w:rsidR="00DB3624" w:rsidRPr="002513D7" w:rsidRDefault="00DB3624">
            <w:pPr>
              <w:pStyle w:val="ConsPlusNonformat"/>
              <w:jc w:val="both"/>
            </w:pPr>
            <w:r w:rsidRPr="002513D7">
              <w:t xml:space="preserve">0,7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6.5. Площадью от 2 до</w:t>
            </w:r>
          </w:p>
          <w:p w:rsidR="00DB3624" w:rsidRPr="002513D7" w:rsidRDefault="00DB3624">
            <w:pPr>
              <w:pStyle w:val="ConsPlusNonformat"/>
              <w:jc w:val="both"/>
            </w:pPr>
            <w:r w:rsidRPr="002513D7">
              <w:t xml:space="preserve">4 кв. м включительно </w:t>
            </w:r>
          </w:p>
        </w:tc>
        <w:tc>
          <w:tcPr>
            <w:tcW w:w="732" w:type="dxa"/>
            <w:tcBorders>
              <w:top w:val="nil"/>
            </w:tcBorders>
          </w:tcPr>
          <w:p w:rsidR="00DB3624" w:rsidRPr="002513D7" w:rsidRDefault="00DB3624">
            <w:pPr>
              <w:pStyle w:val="ConsPlusNonformat"/>
              <w:jc w:val="both"/>
            </w:pPr>
            <w:r w:rsidRPr="002513D7">
              <w:t>0,41</w:t>
            </w:r>
          </w:p>
        </w:tc>
        <w:tc>
          <w:tcPr>
            <w:tcW w:w="732" w:type="dxa"/>
            <w:tcBorders>
              <w:top w:val="nil"/>
            </w:tcBorders>
          </w:tcPr>
          <w:p w:rsidR="00DB3624" w:rsidRPr="002513D7" w:rsidRDefault="00DB3624">
            <w:pPr>
              <w:pStyle w:val="ConsPlusNonformat"/>
              <w:jc w:val="both"/>
            </w:pPr>
            <w:r w:rsidRPr="002513D7">
              <w:t>0,56</w:t>
            </w:r>
          </w:p>
        </w:tc>
        <w:tc>
          <w:tcPr>
            <w:tcW w:w="854" w:type="dxa"/>
            <w:tcBorders>
              <w:top w:val="nil"/>
            </w:tcBorders>
          </w:tcPr>
          <w:p w:rsidR="00DB3624" w:rsidRPr="002513D7" w:rsidRDefault="00DB3624">
            <w:pPr>
              <w:pStyle w:val="ConsPlusNonformat"/>
              <w:jc w:val="both"/>
            </w:pPr>
            <w:r w:rsidRPr="002513D7">
              <w:t xml:space="preserve">0,7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6.6. Площадью до 2   </w:t>
            </w:r>
          </w:p>
          <w:p w:rsidR="00DB3624" w:rsidRPr="002513D7" w:rsidRDefault="00DB3624">
            <w:pPr>
              <w:pStyle w:val="ConsPlusNonformat"/>
              <w:jc w:val="both"/>
            </w:pPr>
            <w:r w:rsidRPr="002513D7">
              <w:t xml:space="preserve">кв. м включительно   </w:t>
            </w:r>
          </w:p>
        </w:tc>
        <w:tc>
          <w:tcPr>
            <w:tcW w:w="732" w:type="dxa"/>
            <w:tcBorders>
              <w:top w:val="nil"/>
            </w:tcBorders>
          </w:tcPr>
          <w:p w:rsidR="00DB3624" w:rsidRPr="002513D7" w:rsidRDefault="00DB3624">
            <w:pPr>
              <w:pStyle w:val="ConsPlusNonformat"/>
              <w:jc w:val="both"/>
            </w:pPr>
            <w:r w:rsidRPr="002513D7">
              <w:t xml:space="preserve">0,8 </w:t>
            </w:r>
          </w:p>
        </w:tc>
        <w:tc>
          <w:tcPr>
            <w:tcW w:w="732"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8540" w:type="dxa"/>
            <w:gridSpan w:val="8"/>
            <w:tcBorders>
              <w:top w:val="nil"/>
            </w:tcBorders>
          </w:tcPr>
          <w:p w:rsidR="00DB3624" w:rsidRPr="002513D7" w:rsidRDefault="00DB3624">
            <w:pPr>
              <w:pStyle w:val="ConsPlusNonformat"/>
              <w:jc w:val="both"/>
            </w:pPr>
            <w:r w:rsidRPr="002513D7">
              <w:t xml:space="preserve">7. Смешанный ассортимент (реализация в одном торговом месте  </w:t>
            </w:r>
          </w:p>
          <w:p w:rsidR="00DB3624" w:rsidRPr="002513D7" w:rsidRDefault="00DB3624">
            <w:pPr>
              <w:pStyle w:val="ConsPlusNonformat"/>
              <w:jc w:val="both"/>
            </w:pPr>
            <w:r w:rsidRPr="002513D7">
              <w:t xml:space="preserve">нескольких видов товаров, для которых установлены различные  </w:t>
            </w:r>
          </w:p>
          <w:p w:rsidR="00DB3624" w:rsidRPr="002513D7" w:rsidRDefault="00DB3624">
            <w:pPr>
              <w:pStyle w:val="ConsPlusNonformat"/>
              <w:jc w:val="both"/>
            </w:pPr>
            <w:r w:rsidRPr="002513D7">
              <w:t xml:space="preserve">коэффициенты К2 (в графе одного уровня доходности), при      </w:t>
            </w:r>
          </w:p>
          <w:p w:rsidR="00DB3624" w:rsidRPr="002513D7" w:rsidRDefault="00DB3624">
            <w:pPr>
              <w:pStyle w:val="ConsPlusNonformat"/>
              <w:jc w:val="both"/>
            </w:pPr>
            <w:r w:rsidRPr="002513D7">
              <w:t xml:space="preserve">условии, что доходы от реализации товарных групп,            </w:t>
            </w:r>
          </w:p>
          <w:p w:rsidR="00DB3624" w:rsidRPr="002513D7" w:rsidRDefault="00DB3624">
            <w:pPr>
              <w:pStyle w:val="ConsPlusNonformat"/>
              <w:jc w:val="both"/>
            </w:pPr>
            <w:r w:rsidRPr="002513D7">
              <w:t xml:space="preserve">перечисленных в </w:t>
            </w:r>
            <w:hyperlink w:anchor="P135" w:history="1">
              <w:r w:rsidRPr="002513D7">
                <w:t>пунктах 1</w:t>
              </w:r>
            </w:hyperlink>
            <w:r w:rsidRPr="002513D7">
              <w:t xml:space="preserve">, </w:t>
            </w:r>
            <w:hyperlink w:anchor="P157" w:history="1">
              <w:r w:rsidRPr="002513D7">
                <w:t>2</w:t>
              </w:r>
            </w:hyperlink>
            <w:r w:rsidRPr="002513D7">
              <w:t xml:space="preserve">, </w:t>
            </w:r>
            <w:hyperlink w:anchor="P179" w:history="1">
              <w:r w:rsidRPr="002513D7">
                <w:t>3</w:t>
              </w:r>
            </w:hyperlink>
            <w:r w:rsidRPr="002513D7">
              <w:t xml:space="preserve"> настоящей таблицы, составляют</w:t>
            </w:r>
          </w:p>
          <w:p w:rsidR="00DB3624" w:rsidRPr="002513D7" w:rsidRDefault="00DB3624">
            <w:pPr>
              <w:pStyle w:val="ConsPlusNonformat"/>
              <w:jc w:val="both"/>
            </w:pPr>
            <w:r w:rsidRPr="002513D7">
              <w:t xml:space="preserve">не более 40 процентов от общего товарооборота)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7.1. Площадью от 100 </w:t>
            </w:r>
          </w:p>
          <w:p w:rsidR="00DB3624" w:rsidRPr="002513D7" w:rsidRDefault="00DB3624">
            <w:pPr>
              <w:pStyle w:val="ConsPlusNonformat"/>
              <w:jc w:val="both"/>
            </w:pPr>
            <w:r w:rsidRPr="002513D7">
              <w:t xml:space="preserve">до 150 кв. м         </w:t>
            </w:r>
          </w:p>
          <w:p w:rsidR="00DB3624" w:rsidRPr="002513D7" w:rsidRDefault="00DB3624">
            <w:pPr>
              <w:pStyle w:val="ConsPlusNonformat"/>
              <w:jc w:val="both"/>
            </w:pPr>
            <w:r w:rsidRPr="002513D7">
              <w:t xml:space="preserve">включительно         </w:t>
            </w:r>
          </w:p>
        </w:tc>
        <w:tc>
          <w:tcPr>
            <w:tcW w:w="732" w:type="dxa"/>
            <w:tcBorders>
              <w:top w:val="nil"/>
            </w:tcBorders>
          </w:tcPr>
          <w:p w:rsidR="00DB3624" w:rsidRPr="002513D7" w:rsidRDefault="00DB3624">
            <w:pPr>
              <w:pStyle w:val="ConsPlusNonformat"/>
              <w:jc w:val="both"/>
            </w:pPr>
            <w:r w:rsidRPr="002513D7">
              <w:t xml:space="preserve">0,2 </w:t>
            </w:r>
          </w:p>
        </w:tc>
        <w:tc>
          <w:tcPr>
            <w:tcW w:w="732" w:type="dxa"/>
            <w:tcBorders>
              <w:top w:val="nil"/>
            </w:tcBorders>
          </w:tcPr>
          <w:p w:rsidR="00DB3624" w:rsidRPr="002513D7" w:rsidRDefault="00DB3624">
            <w:pPr>
              <w:pStyle w:val="ConsPlusNonformat"/>
              <w:jc w:val="both"/>
            </w:pPr>
            <w:r w:rsidRPr="002513D7">
              <w:t>0,29</w:t>
            </w:r>
          </w:p>
        </w:tc>
        <w:tc>
          <w:tcPr>
            <w:tcW w:w="854" w:type="dxa"/>
            <w:tcBorders>
              <w:top w:val="nil"/>
            </w:tcBorders>
          </w:tcPr>
          <w:p w:rsidR="00DB3624" w:rsidRPr="002513D7" w:rsidRDefault="00DB3624">
            <w:pPr>
              <w:pStyle w:val="ConsPlusNonformat"/>
              <w:jc w:val="both"/>
            </w:pPr>
            <w:r w:rsidRPr="002513D7">
              <w:t xml:space="preserve">0,37 </w:t>
            </w:r>
          </w:p>
        </w:tc>
        <w:tc>
          <w:tcPr>
            <w:tcW w:w="854" w:type="dxa"/>
            <w:tcBorders>
              <w:top w:val="nil"/>
            </w:tcBorders>
          </w:tcPr>
          <w:p w:rsidR="00DB3624" w:rsidRPr="002513D7" w:rsidRDefault="00DB3624">
            <w:pPr>
              <w:pStyle w:val="ConsPlusNonformat"/>
              <w:jc w:val="both"/>
            </w:pPr>
            <w:r w:rsidRPr="002513D7">
              <w:t xml:space="preserve">0,42 </w:t>
            </w:r>
          </w:p>
        </w:tc>
        <w:tc>
          <w:tcPr>
            <w:tcW w:w="854" w:type="dxa"/>
            <w:tcBorders>
              <w:top w:val="nil"/>
            </w:tcBorders>
          </w:tcPr>
          <w:p w:rsidR="00DB3624" w:rsidRPr="002513D7" w:rsidRDefault="00DB3624">
            <w:pPr>
              <w:pStyle w:val="ConsPlusNonformat"/>
              <w:jc w:val="both"/>
            </w:pPr>
            <w:r w:rsidRPr="002513D7">
              <w:t xml:space="preserve">0,6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7.2. Площадью от 50  </w:t>
            </w:r>
          </w:p>
          <w:p w:rsidR="00DB3624" w:rsidRPr="002513D7" w:rsidRDefault="00DB3624">
            <w:pPr>
              <w:pStyle w:val="ConsPlusNonformat"/>
              <w:jc w:val="both"/>
            </w:pPr>
            <w:r w:rsidRPr="002513D7">
              <w:t xml:space="preserve">до 100 кв. м         </w:t>
            </w:r>
          </w:p>
          <w:p w:rsidR="00DB3624" w:rsidRPr="002513D7" w:rsidRDefault="00DB3624">
            <w:pPr>
              <w:pStyle w:val="ConsPlusNonformat"/>
              <w:jc w:val="both"/>
            </w:pPr>
            <w:r w:rsidRPr="002513D7">
              <w:t xml:space="preserve">включительно         </w:t>
            </w:r>
          </w:p>
        </w:tc>
        <w:tc>
          <w:tcPr>
            <w:tcW w:w="732" w:type="dxa"/>
            <w:tcBorders>
              <w:top w:val="nil"/>
            </w:tcBorders>
          </w:tcPr>
          <w:p w:rsidR="00DB3624" w:rsidRPr="002513D7" w:rsidRDefault="00DB3624">
            <w:pPr>
              <w:pStyle w:val="ConsPlusNonformat"/>
              <w:jc w:val="both"/>
            </w:pPr>
            <w:r w:rsidRPr="002513D7">
              <w:t>0,22</w:t>
            </w:r>
          </w:p>
        </w:tc>
        <w:tc>
          <w:tcPr>
            <w:tcW w:w="732" w:type="dxa"/>
            <w:tcBorders>
              <w:top w:val="nil"/>
            </w:tcBorders>
          </w:tcPr>
          <w:p w:rsidR="00DB3624" w:rsidRPr="002513D7" w:rsidRDefault="00DB3624">
            <w:pPr>
              <w:pStyle w:val="ConsPlusNonformat"/>
              <w:jc w:val="both"/>
            </w:pPr>
            <w:r w:rsidRPr="002513D7">
              <w:t>0,31</w:t>
            </w:r>
          </w:p>
        </w:tc>
        <w:tc>
          <w:tcPr>
            <w:tcW w:w="854" w:type="dxa"/>
            <w:tcBorders>
              <w:top w:val="nil"/>
            </w:tcBorders>
          </w:tcPr>
          <w:p w:rsidR="00DB3624" w:rsidRPr="002513D7" w:rsidRDefault="00DB3624">
            <w:pPr>
              <w:pStyle w:val="ConsPlusNonformat"/>
              <w:jc w:val="both"/>
            </w:pPr>
            <w:r w:rsidRPr="002513D7">
              <w:t xml:space="preserve">0,4  </w:t>
            </w:r>
          </w:p>
        </w:tc>
        <w:tc>
          <w:tcPr>
            <w:tcW w:w="854" w:type="dxa"/>
            <w:tcBorders>
              <w:top w:val="nil"/>
            </w:tcBorders>
          </w:tcPr>
          <w:p w:rsidR="00DB3624" w:rsidRPr="002513D7" w:rsidRDefault="00DB3624">
            <w:pPr>
              <w:pStyle w:val="ConsPlusNonformat"/>
              <w:jc w:val="both"/>
            </w:pPr>
            <w:r w:rsidRPr="002513D7">
              <w:t xml:space="preserve">0,45 </w:t>
            </w:r>
          </w:p>
        </w:tc>
        <w:tc>
          <w:tcPr>
            <w:tcW w:w="854" w:type="dxa"/>
            <w:tcBorders>
              <w:top w:val="nil"/>
            </w:tcBorders>
          </w:tcPr>
          <w:p w:rsidR="00DB3624" w:rsidRPr="002513D7" w:rsidRDefault="00DB3624">
            <w:pPr>
              <w:pStyle w:val="ConsPlusNonformat"/>
              <w:jc w:val="both"/>
            </w:pPr>
            <w:r w:rsidRPr="002513D7">
              <w:t xml:space="preserve">0,62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7.3. Площадью от 6 до</w:t>
            </w:r>
          </w:p>
          <w:p w:rsidR="00DB3624" w:rsidRPr="002513D7" w:rsidRDefault="00DB3624">
            <w:pPr>
              <w:pStyle w:val="ConsPlusNonformat"/>
              <w:jc w:val="both"/>
            </w:pPr>
            <w:r w:rsidRPr="002513D7">
              <w:t>50 кв. м включительно</w:t>
            </w:r>
          </w:p>
        </w:tc>
        <w:tc>
          <w:tcPr>
            <w:tcW w:w="732" w:type="dxa"/>
            <w:tcBorders>
              <w:top w:val="nil"/>
            </w:tcBorders>
          </w:tcPr>
          <w:p w:rsidR="00DB3624" w:rsidRPr="002513D7" w:rsidRDefault="00DB3624">
            <w:pPr>
              <w:pStyle w:val="ConsPlusNonformat"/>
              <w:jc w:val="both"/>
            </w:pPr>
            <w:r w:rsidRPr="002513D7">
              <w:t>0,23</w:t>
            </w:r>
          </w:p>
        </w:tc>
        <w:tc>
          <w:tcPr>
            <w:tcW w:w="732" w:type="dxa"/>
            <w:tcBorders>
              <w:top w:val="nil"/>
            </w:tcBorders>
          </w:tcPr>
          <w:p w:rsidR="00DB3624" w:rsidRPr="002513D7" w:rsidRDefault="00DB3624">
            <w:pPr>
              <w:pStyle w:val="ConsPlusNonformat"/>
              <w:jc w:val="both"/>
            </w:pPr>
            <w:r w:rsidRPr="002513D7">
              <w:t>0,32</w:t>
            </w:r>
          </w:p>
        </w:tc>
        <w:tc>
          <w:tcPr>
            <w:tcW w:w="854" w:type="dxa"/>
            <w:tcBorders>
              <w:top w:val="nil"/>
            </w:tcBorders>
          </w:tcPr>
          <w:p w:rsidR="00DB3624" w:rsidRPr="002513D7" w:rsidRDefault="00DB3624">
            <w:pPr>
              <w:pStyle w:val="ConsPlusNonformat"/>
              <w:jc w:val="both"/>
            </w:pPr>
            <w:r w:rsidRPr="002513D7">
              <w:t xml:space="preserve">0,41 </w:t>
            </w:r>
          </w:p>
        </w:tc>
        <w:tc>
          <w:tcPr>
            <w:tcW w:w="854" w:type="dxa"/>
            <w:tcBorders>
              <w:top w:val="nil"/>
            </w:tcBorders>
          </w:tcPr>
          <w:p w:rsidR="00DB3624" w:rsidRPr="002513D7" w:rsidRDefault="00DB3624">
            <w:pPr>
              <w:pStyle w:val="ConsPlusNonformat"/>
              <w:jc w:val="both"/>
            </w:pPr>
            <w:r w:rsidRPr="002513D7">
              <w:t xml:space="preserve">0,46 </w:t>
            </w:r>
          </w:p>
        </w:tc>
        <w:tc>
          <w:tcPr>
            <w:tcW w:w="854" w:type="dxa"/>
            <w:tcBorders>
              <w:top w:val="nil"/>
            </w:tcBorders>
          </w:tcPr>
          <w:p w:rsidR="00DB3624" w:rsidRPr="002513D7" w:rsidRDefault="00DB3624">
            <w:pPr>
              <w:pStyle w:val="ConsPlusNonformat"/>
              <w:jc w:val="both"/>
            </w:pPr>
            <w:r w:rsidRPr="002513D7">
              <w:t xml:space="preserve">0,63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7.4. Площадью от 4 до</w:t>
            </w:r>
          </w:p>
          <w:p w:rsidR="00DB3624" w:rsidRPr="002513D7" w:rsidRDefault="00DB3624">
            <w:pPr>
              <w:pStyle w:val="ConsPlusNonformat"/>
              <w:jc w:val="both"/>
            </w:pPr>
            <w:r w:rsidRPr="002513D7">
              <w:t xml:space="preserve">6 кв. м включительно </w:t>
            </w:r>
          </w:p>
        </w:tc>
        <w:tc>
          <w:tcPr>
            <w:tcW w:w="732" w:type="dxa"/>
            <w:tcBorders>
              <w:top w:val="nil"/>
            </w:tcBorders>
          </w:tcPr>
          <w:p w:rsidR="00DB3624" w:rsidRPr="002513D7" w:rsidRDefault="00DB3624">
            <w:pPr>
              <w:pStyle w:val="ConsPlusNonformat"/>
              <w:jc w:val="both"/>
            </w:pPr>
            <w:r w:rsidRPr="002513D7">
              <w:t>0,27</w:t>
            </w:r>
          </w:p>
        </w:tc>
        <w:tc>
          <w:tcPr>
            <w:tcW w:w="732" w:type="dxa"/>
            <w:tcBorders>
              <w:top w:val="nil"/>
            </w:tcBorders>
          </w:tcPr>
          <w:p w:rsidR="00DB3624" w:rsidRPr="002513D7" w:rsidRDefault="00DB3624">
            <w:pPr>
              <w:pStyle w:val="ConsPlusNonformat"/>
              <w:jc w:val="both"/>
            </w:pPr>
            <w:r w:rsidRPr="002513D7">
              <w:t>0,38</w:t>
            </w:r>
          </w:p>
        </w:tc>
        <w:tc>
          <w:tcPr>
            <w:tcW w:w="854" w:type="dxa"/>
            <w:tcBorders>
              <w:top w:val="nil"/>
            </w:tcBorders>
          </w:tcPr>
          <w:p w:rsidR="00DB3624" w:rsidRPr="002513D7" w:rsidRDefault="00DB3624">
            <w:pPr>
              <w:pStyle w:val="ConsPlusNonformat"/>
              <w:jc w:val="both"/>
            </w:pPr>
            <w:r w:rsidRPr="002513D7">
              <w:t xml:space="preserve">0,49 </w:t>
            </w:r>
          </w:p>
        </w:tc>
        <w:tc>
          <w:tcPr>
            <w:tcW w:w="854" w:type="dxa"/>
            <w:tcBorders>
              <w:top w:val="nil"/>
            </w:tcBorders>
          </w:tcPr>
          <w:p w:rsidR="00DB3624" w:rsidRPr="002513D7" w:rsidRDefault="00DB3624">
            <w:pPr>
              <w:pStyle w:val="ConsPlusNonformat"/>
              <w:jc w:val="both"/>
            </w:pPr>
            <w:r w:rsidRPr="002513D7">
              <w:t xml:space="preserve">0,55 </w:t>
            </w:r>
          </w:p>
        </w:tc>
        <w:tc>
          <w:tcPr>
            <w:tcW w:w="854" w:type="dxa"/>
            <w:tcBorders>
              <w:top w:val="nil"/>
            </w:tcBorders>
          </w:tcPr>
          <w:p w:rsidR="00DB3624" w:rsidRPr="002513D7" w:rsidRDefault="00DB3624">
            <w:pPr>
              <w:pStyle w:val="ConsPlusNonformat"/>
              <w:jc w:val="both"/>
            </w:pPr>
            <w:r w:rsidRPr="002513D7">
              <w:t xml:space="preserve">0,75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7.5. Площадью от 2 до</w:t>
            </w:r>
          </w:p>
          <w:p w:rsidR="00DB3624" w:rsidRPr="002513D7" w:rsidRDefault="00DB3624">
            <w:pPr>
              <w:pStyle w:val="ConsPlusNonformat"/>
              <w:jc w:val="both"/>
            </w:pPr>
            <w:r w:rsidRPr="002513D7">
              <w:t xml:space="preserve">4 кв. м включительно </w:t>
            </w:r>
          </w:p>
        </w:tc>
        <w:tc>
          <w:tcPr>
            <w:tcW w:w="732" w:type="dxa"/>
            <w:tcBorders>
              <w:top w:val="nil"/>
            </w:tcBorders>
          </w:tcPr>
          <w:p w:rsidR="00DB3624" w:rsidRPr="002513D7" w:rsidRDefault="00DB3624">
            <w:pPr>
              <w:pStyle w:val="ConsPlusNonformat"/>
              <w:jc w:val="both"/>
            </w:pPr>
            <w:r w:rsidRPr="002513D7">
              <w:t>0,45</w:t>
            </w:r>
          </w:p>
        </w:tc>
        <w:tc>
          <w:tcPr>
            <w:tcW w:w="732" w:type="dxa"/>
            <w:tcBorders>
              <w:top w:val="nil"/>
            </w:tcBorders>
          </w:tcPr>
          <w:p w:rsidR="00DB3624" w:rsidRPr="002513D7" w:rsidRDefault="00DB3624">
            <w:pPr>
              <w:pStyle w:val="ConsPlusNonformat"/>
              <w:jc w:val="both"/>
            </w:pPr>
            <w:r w:rsidRPr="002513D7">
              <w:t>0,65</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r w:rsidR="00DB3624" w:rsidRPr="00D2359A">
        <w:trPr>
          <w:trHeight w:val="227"/>
        </w:trPr>
        <w:tc>
          <w:tcPr>
            <w:tcW w:w="2806" w:type="dxa"/>
            <w:tcBorders>
              <w:top w:val="nil"/>
            </w:tcBorders>
          </w:tcPr>
          <w:p w:rsidR="00DB3624" w:rsidRPr="002513D7" w:rsidRDefault="00DB3624">
            <w:pPr>
              <w:pStyle w:val="ConsPlusNonformat"/>
              <w:jc w:val="both"/>
            </w:pPr>
            <w:r w:rsidRPr="002513D7">
              <w:t xml:space="preserve">7.6. Площадью до 2   </w:t>
            </w:r>
          </w:p>
          <w:p w:rsidR="00DB3624" w:rsidRPr="002513D7" w:rsidRDefault="00DB3624">
            <w:pPr>
              <w:pStyle w:val="ConsPlusNonformat"/>
              <w:jc w:val="both"/>
            </w:pPr>
            <w:r w:rsidRPr="002513D7">
              <w:t xml:space="preserve">кв. м включительно   </w:t>
            </w:r>
          </w:p>
        </w:tc>
        <w:tc>
          <w:tcPr>
            <w:tcW w:w="732" w:type="dxa"/>
            <w:tcBorders>
              <w:top w:val="nil"/>
            </w:tcBorders>
          </w:tcPr>
          <w:p w:rsidR="00DB3624" w:rsidRPr="002513D7" w:rsidRDefault="00DB3624">
            <w:pPr>
              <w:pStyle w:val="ConsPlusNonformat"/>
              <w:jc w:val="both"/>
            </w:pPr>
            <w:r w:rsidRPr="002513D7">
              <w:t xml:space="preserve">0,8 </w:t>
            </w:r>
          </w:p>
        </w:tc>
        <w:tc>
          <w:tcPr>
            <w:tcW w:w="732"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0,8  </w:t>
            </w:r>
          </w:p>
        </w:tc>
      </w:tr>
    </w:tbl>
    <w:p w:rsidR="00DB3624" w:rsidRPr="002513D7" w:rsidRDefault="00DB3624">
      <w:pPr>
        <w:pStyle w:val="ConsPlusNormal"/>
        <w:ind w:firstLine="540"/>
        <w:jc w:val="both"/>
      </w:pPr>
    </w:p>
    <w:p w:rsidR="00DB3624" w:rsidRDefault="00DB3624" w:rsidP="0046688D">
      <w:pPr>
        <w:pStyle w:val="ConsPlusNormal"/>
        <w:ind w:firstLine="540"/>
        <w:jc w:val="both"/>
      </w:pPr>
      <w:r>
        <w:t>В случае если в одном торговом месте доходы от реализации товарных групп, перечисленных в пунктах 1, 2, 3 таблицы, превышают 40 процентов от общего товарооборота, для расчета единого налога применяется значение коэффициента, имеющее наибольшее значение.</w:t>
      </w:r>
    </w:p>
    <w:p w:rsidR="00DB3624" w:rsidRPr="00014FA2" w:rsidRDefault="00DB3624" w:rsidP="0046688D">
      <w:pPr>
        <w:pStyle w:val="ConsPlusNormal"/>
        <w:ind w:firstLine="540"/>
        <w:jc w:val="both"/>
      </w:pPr>
      <w:r>
        <w:t>8.3.2. Таблица значений корректирующего коэффициента К2 в отношении розничной торговли, осуществляемой через объекты стационарной торговой сети, не имеющие торговых залов, и розничной торговли, осуществляемой через объекты нестационарной торговой сети</w:t>
      </w:r>
    </w:p>
    <w:p w:rsidR="00DB3624" w:rsidRPr="00014FA2" w:rsidRDefault="00DB3624" w:rsidP="0046688D">
      <w:pPr>
        <w:pStyle w:val="ConsPlusNormal"/>
        <w:ind w:firstLine="540"/>
        <w:jc w:val="both"/>
      </w:pPr>
    </w:p>
    <w:p w:rsidR="00DB3624" w:rsidRPr="002513D7" w:rsidRDefault="00DB3624">
      <w:pPr>
        <w:pStyle w:val="ConsPlusCell"/>
        <w:jc w:val="both"/>
      </w:pPr>
      <w:r w:rsidRPr="002513D7">
        <w:t>┌──────────────────────────────────────┬─────────────┐</w:t>
      </w:r>
    </w:p>
    <w:p w:rsidR="00DB3624" w:rsidRPr="002513D7" w:rsidRDefault="00DB3624">
      <w:pPr>
        <w:pStyle w:val="ConsPlusCell"/>
        <w:jc w:val="both"/>
      </w:pPr>
      <w:r w:rsidRPr="002513D7">
        <w:t>│              Показатели              │Осуществление│</w:t>
      </w:r>
    </w:p>
    <w:p w:rsidR="00DB3624" w:rsidRPr="002513D7" w:rsidRDefault="00DB3624">
      <w:pPr>
        <w:pStyle w:val="ConsPlusCell"/>
        <w:jc w:val="both"/>
      </w:pPr>
      <w:r w:rsidRPr="002513D7">
        <w:t>│                                      │деятельности │</w:t>
      </w:r>
    </w:p>
    <w:p w:rsidR="00DB3624" w:rsidRPr="002513D7" w:rsidRDefault="00DB3624">
      <w:pPr>
        <w:pStyle w:val="ConsPlusCell"/>
        <w:jc w:val="both"/>
      </w:pPr>
      <w:r w:rsidRPr="002513D7">
        <w:t>├──────────────────────────────────────┼─────────────┤</w:t>
      </w:r>
    </w:p>
    <w:p w:rsidR="00DB3624" w:rsidRPr="002513D7" w:rsidRDefault="00DB3624">
      <w:pPr>
        <w:pStyle w:val="ConsPlusCell"/>
        <w:jc w:val="both"/>
      </w:pPr>
      <w:r w:rsidRPr="002513D7">
        <w:t>│Подакцизные товары                    │             │</w:t>
      </w:r>
    </w:p>
    <w:p w:rsidR="00DB3624" w:rsidRPr="002513D7" w:rsidRDefault="00DB3624">
      <w:pPr>
        <w:pStyle w:val="ConsPlusCell"/>
        <w:jc w:val="both"/>
      </w:pPr>
      <w:r w:rsidRPr="002513D7">
        <w:t>│Объекты стационарной торговой сети    │     1       │</w:t>
      </w:r>
    </w:p>
    <w:p w:rsidR="00DB3624" w:rsidRPr="002513D7" w:rsidRDefault="00DB3624">
      <w:pPr>
        <w:pStyle w:val="ConsPlusCell"/>
        <w:jc w:val="both"/>
      </w:pPr>
      <w:r w:rsidRPr="002513D7">
        <w:t>│Объекты нестационарной торговой сети  │     0,9     │</w:t>
      </w:r>
    </w:p>
    <w:p w:rsidR="00DB3624" w:rsidRPr="002513D7" w:rsidRDefault="00DB3624">
      <w:pPr>
        <w:pStyle w:val="ConsPlusCell"/>
        <w:jc w:val="both"/>
      </w:pPr>
      <w:r w:rsidRPr="002513D7">
        <w:t>├──────────────────────────────────────┼─────────────┤</w:t>
      </w:r>
    </w:p>
    <w:p w:rsidR="00DB3624" w:rsidRPr="002513D7" w:rsidRDefault="00DB3624">
      <w:pPr>
        <w:pStyle w:val="ConsPlusCell"/>
        <w:jc w:val="both"/>
      </w:pPr>
      <w:r w:rsidRPr="002513D7">
        <w:t>│Изделия из натурального меха,         │             │</w:t>
      </w:r>
    </w:p>
    <w:p w:rsidR="00DB3624" w:rsidRPr="002513D7" w:rsidRDefault="00DB3624">
      <w:pPr>
        <w:pStyle w:val="ConsPlusCell"/>
        <w:jc w:val="both"/>
      </w:pPr>
      <w:r w:rsidRPr="002513D7">
        <w:t>│натуральной кожи, ковровые изделия,   │             │</w:t>
      </w:r>
    </w:p>
    <w:p w:rsidR="00DB3624" w:rsidRPr="002513D7" w:rsidRDefault="00DB3624">
      <w:pPr>
        <w:pStyle w:val="ConsPlusCell"/>
        <w:jc w:val="both"/>
      </w:pPr>
      <w:r w:rsidRPr="002513D7">
        <w:t>│детали, агрегаты и принадлежности к   │             │</w:t>
      </w:r>
    </w:p>
    <w:p w:rsidR="00DB3624" w:rsidRPr="002513D7" w:rsidRDefault="00DB3624">
      <w:pPr>
        <w:pStyle w:val="ConsPlusCell"/>
        <w:jc w:val="both"/>
      </w:pPr>
      <w:r w:rsidRPr="002513D7">
        <w:t>│автомобилям                           │             │</w:t>
      </w:r>
    </w:p>
    <w:p w:rsidR="00DB3624" w:rsidRPr="002513D7" w:rsidRDefault="00DB3624">
      <w:pPr>
        <w:pStyle w:val="ConsPlusCell"/>
        <w:jc w:val="both"/>
      </w:pPr>
      <w:r w:rsidRPr="002513D7">
        <w:t>│Объекты стационарной торговой сети    │     1       │</w:t>
      </w:r>
    </w:p>
    <w:p w:rsidR="00DB3624" w:rsidRPr="002513D7" w:rsidRDefault="00DB3624">
      <w:pPr>
        <w:pStyle w:val="ConsPlusCell"/>
        <w:jc w:val="both"/>
      </w:pPr>
      <w:r w:rsidRPr="002513D7">
        <w:t>│Объекты нестационарной торговой сети  │     1       │</w:t>
      </w:r>
    </w:p>
    <w:p w:rsidR="00DB3624" w:rsidRPr="002513D7" w:rsidRDefault="00DB3624">
      <w:pPr>
        <w:pStyle w:val="ConsPlusCell"/>
        <w:jc w:val="both"/>
      </w:pPr>
      <w:r w:rsidRPr="002513D7">
        <w:t>├──────────────────────────────────────┼─────────────┤</w:t>
      </w:r>
    </w:p>
    <w:p w:rsidR="00DB3624" w:rsidRPr="002513D7" w:rsidRDefault="00DB3624">
      <w:pPr>
        <w:pStyle w:val="ConsPlusCell"/>
        <w:jc w:val="both"/>
      </w:pPr>
      <w:r w:rsidRPr="002513D7">
        <w:t>│Продовольственные товары              │             │</w:t>
      </w:r>
    </w:p>
    <w:p w:rsidR="00DB3624" w:rsidRPr="002513D7" w:rsidRDefault="00DB3624">
      <w:pPr>
        <w:pStyle w:val="ConsPlusCell"/>
        <w:jc w:val="both"/>
      </w:pPr>
      <w:r w:rsidRPr="002513D7">
        <w:t>│Объекты стационарной торговой сети    │     1       │</w:t>
      </w:r>
    </w:p>
    <w:p w:rsidR="00DB3624" w:rsidRPr="002513D7" w:rsidRDefault="00DB3624">
      <w:pPr>
        <w:pStyle w:val="ConsPlusCell"/>
        <w:jc w:val="both"/>
      </w:pPr>
      <w:r w:rsidRPr="002513D7">
        <w:t>│Объекты нестационарной торговой сети  │     0,6     │</w:t>
      </w:r>
    </w:p>
    <w:p w:rsidR="00DB3624" w:rsidRPr="002513D7" w:rsidRDefault="00DB3624">
      <w:pPr>
        <w:pStyle w:val="ConsPlusCell"/>
        <w:jc w:val="both"/>
      </w:pPr>
      <w:r w:rsidRPr="002513D7">
        <w:t>├──────────────────────────────────────┼─────────────┤</w:t>
      </w:r>
    </w:p>
    <w:p w:rsidR="00DB3624" w:rsidRPr="002513D7" w:rsidRDefault="00DB3624">
      <w:pPr>
        <w:pStyle w:val="ConsPlusCell"/>
        <w:jc w:val="both"/>
      </w:pPr>
      <w:r w:rsidRPr="002513D7">
        <w:t>│Лекарственные средства и изделия      │             │</w:t>
      </w:r>
    </w:p>
    <w:p w:rsidR="00DB3624" w:rsidRPr="002513D7" w:rsidRDefault="00DB3624">
      <w:pPr>
        <w:pStyle w:val="ConsPlusCell"/>
        <w:jc w:val="both"/>
      </w:pPr>
      <w:r w:rsidRPr="002513D7">
        <w:t>│медицинского назначения               │             │</w:t>
      </w:r>
    </w:p>
    <w:p w:rsidR="00DB3624" w:rsidRPr="002513D7" w:rsidRDefault="00DB3624">
      <w:pPr>
        <w:pStyle w:val="ConsPlusCell"/>
        <w:jc w:val="both"/>
      </w:pPr>
      <w:r w:rsidRPr="002513D7">
        <w:t>│Объекты стационарной торговой сети    │     1       │</w:t>
      </w:r>
    </w:p>
    <w:p w:rsidR="00DB3624" w:rsidRPr="002513D7" w:rsidRDefault="00DB3624">
      <w:pPr>
        <w:pStyle w:val="ConsPlusCell"/>
        <w:jc w:val="both"/>
      </w:pPr>
      <w:r w:rsidRPr="002513D7">
        <w:t>│Объекты нестационарной торговой сети  │     0,5     │</w:t>
      </w:r>
    </w:p>
    <w:p w:rsidR="00DB3624" w:rsidRPr="002513D7" w:rsidRDefault="00DB3624">
      <w:pPr>
        <w:pStyle w:val="ConsPlusCell"/>
        <w:jc w:val="both"/>
      </w:pPr>
      <w:r w:rsidRPr="002513D7">
        <w:t>├──────────────────────────────────────┼─────────────┤</w:t>
      </w:r>
    </w:p>
    <w:p w:rsidR="00DB3624" w:rsidRPr="002513D7" w:rsidRDefault="00DB3624">
      <w:pPr>
        <w:pStyle w:val="ConsPlusCell"/>
        <w:jc w:val="both"/>
      </w:pPr>
      <w:r w:rsidRPr="002513D7">
        <w:t>│Изделия художественных народных       │             │</w:t>
      </w:r>
    </w:p>
    <w:p w:rsidR="00DB3624" w:rsidRPr="002513D7" w:rsidRDefault="00DB3624">
      <w:pPr>
        <w:pStyle w:val="ConsPlusCell"/>
        <w:jc w:val="both"/>
      </w:pPr>
      <w:r w:rsidRPr="002513D7">
        <w:t>│промыслов и ремесел, предметы культа и│             │</w:t>
      </w:r>
    </w:p>
    <w:p w:rsidR="00DB3624" w:rsidRPr="002513D7" w:rsidRDefault="00DB3624">
      <w:pPr>
        <w:pStyle w:val="ConsPlusCell"/>
        <w:jc w:val="both"/>
      </w:pPr>
      <w:r w:rsidRPr="002513D7">
        <w:t>│религиозного назначения (кроме изделий│             │</w:t>
      </w:r>
    </w:p>
    <w:p w:rsidR="00DB3624" w:rsidRPr="002513D7" w:rsidRDefault="00DB3624">
      <w:pPr>
        <w:pStyle w:val="ConsPlusCell"/>
        <w:jc w:val="both"/>
      </w:pPr>
      <w:r w:rsidRPr="002513D7">
        <w:t>│из драгоценных металлов и драгоценных │             │</w:t>
      </w:r>
    </w:p>
    <w:p w:rsidR="00DB3624" w:rsidRPr="002513D7" w:rsidRDefault="00DB3624">
      <w:pPr>
        <w:pStyle w:val="ConsPlusCell"/>
        <w:jc w:val="both"/>
      </w:pPr>
      <w:r w:rsidRPr="002513D7">
        <w:t>│камней);                              │             │</w:t>
      </w:r>
    </w:p>
    <w:p w:rsidR="00DB3624" w:rsidRPr="002513D7" w:rsidRDefault="00DB3624">
      <w:pPr>
        <w:pStyle w:val="ConsPlusCell"/>
        <w:jc w:val="both"/>
      </w:pPr>
      <w:r w:rsidRPr="002513D7">
        <w:t>│книжная продукция и периодические     │             │</w:t>
      </w:r>
    </w:p>
    <w:p w:rsidR="00DB3624" w:rsidRPr="002513D7" w:rsidRDefault="00DB3624">
      <w:pPr>
        <w:pStyle w:val="ConsPlusCell"/>
        <w:jc w:val="both"/>
      </w:pPr>
      <w:r w:rsidRPr="002513D7">
        <w:t>│издания (кроме продукции рекламного и │             │</w:t>
      </w:r>
    </w:p>
    <w:p w:rsidR="00DB3624" w:rsidRPr="002513D7" w:rsidRDefault="00DB3624">
      <w:pPr>
        <w:pStyle w:val="ConsPlusCell"/>
        <w:jc w:val="both"/>
      </w:pPr>
      <w:r w:rsidRPr="002513D7">
        <w:t>│эротического характера), а также      │             │</w:t>
      </w:r>
    </w:p>
    <w:p w:rsidR="00DB3624" w:rsidRPr="002513D7" w:rsidRDefault="00DB3624">
      <w:pPr>
        <w:pStyle w:val="ConsPlusCell"/>
        <w:jc w:val="both"/>
      </w:pPr>
      <w:r w:rsidRPr="002513D7">
        <w:t>│сопутствующие товары в соответствии с │             │</w:t>
      </w:r>
    </w:p>
    <w:p w:rsidR="00DB3624" w:rsidRPr="002513D7" w:rsidRDefault="00DB3624">
      <w:pPr>
        <w:pStyle w:val="ConsPlusCell"/>
        <w:jc w:val="both"/>
      </w:pPr>
      <w:r w:rsidRPr="002513D7">
        <w:t>│перечнем (при условии, что доходы     │             │</w:t>
      </w:r>
    </w:p>
    <w:p w:rsidR="00DB3624" w:rsidRPr="002513D7" w:rsidRDefault="00DB3624">
      <w:pPr>
        <w:pStyle w:val="ConsPlusCell"/>
        <w:jc w:val="both"/>
      </w:pPr>
      <w:r w:rsidRPr="002513D7">
        <w:t>│от реализации сопутствующих товаров   │             │</w:t>
      </w:r>
    </w:p>
    <w:p w:rsidR="00DB3624" w:rsidRPr="002513D7" w:rsidRDefault="00DB3624">
      <w:pPr>
        <w:pStyle w:val="ConsPlusCell"/>
        <w:jc w:val="both"/>
      </w:pPr>
      <w:r w:rsidRPr="002513D7">
        <w:t>│составляют не более 30% от общего     │             │</w:t>
      </w:r>
    </w:p>
    <w:p w:rsidR="00DB3624" w:rsidRPr="002513D7" w:rsidRDefault="00DB3624">
      <w:pPr>
        <w:pStyle w:val="ConsPlusCell"/>
        <w:jc w:val="both"/>
      </w:pPr>
      <w:r w:rsidRPr="002513D7">
        <w:t>│товарооборота)                        │             │</w:t>
      </w:r>
    </w:p>
    <w:p w:rsidR="00DB3624" w:rsidRPr="002513D7" w:rsidRDefault="00DB3624">
      <w:pPr>
        <w:pStyle w:val="ConsPlusCell"/>
        <w:jc w:val="both"/>
      </w:pPr>
      <w:r w:rsidRPr="002513D7">
        <w:t>│Объекты стационарной торговой сети    │     1       │</w:t>
      </w:r>
    </w:p>
    <w:p w:rsidR="00DB3624" w:rsidRPr="002513D7" w:rsidRDefault="00DB3624">
      <w:pPr>
        <w:pStyle w:val="ConsPlusCell"/>
        <w:jc w:val="both"/>
      </w:pPr>
      <w:r w:rsidRPr="002513D7">
        <w:t>│Объекты нестационарной торговой сети  │     0,5     │</w:t>
      </w:r>
    </w:p>
    <w:p w:rsidR="00DB3624" w:rsidRPr="002513D7" w:rsidRDefault="00DB3624">
      <w:pPr>
        <w:pStyle w:val="ConsPlusCell"/>
        <w:jc w:val="both"/>
      </w:pPr>
      <w:r w:rsidRPr="002513D7">
        <w:t>├──────────────────────────────────────┼─────────────┤</w:t>
      </w:r>
    </w:p>
    <w:p w:rsidR="00DB3624" w:rsidRPr="002513D7" w:rsidRDefault="00DB3624">
      <w:pPr>
        <w:pStyle w:val="ConsPlusCell"/>
        <w:jc w:val="both"/>
      </w:pPr>
      <w:r w:rsidRPr="002513D7">
        <w:t>│Прочие виды товаров                   │             │</w:t>
      </w:r>
    </w:p>
    <w:p w:rsidR="00DB3624" w:rsidRPr="002513D7" w:rsidRDefault="00DB3624">
      <w:pPr>
        <w:pStyle w:val="ConsPlusCell"/>
        <w:jc w:val="both"/>
      </w:pPr>
      <w:r w:rsidRPr="002513D7">
        <w:t>│Объекты стационарной торговой сети    │     1       │</w:t>
      </w:r>
    </w:p>
    <w:p w:rsidR="00DB3624" w:rsidRPr="002513D7" w:rsidRDefault="00DB3624">
      <w:pPr>
        <w:pStyle w:val="ConsPlusCell"/>
        <w:jc w:val="both"/>
      </w:pPr>
      <w:r w:rsidRPr="002513D7">
        <w:t>│Объекты нестационарной торговой сети  │     0,8     │</w:t>
      </w:r>
    </w:p>
    <w:p w:rsidR="00DB3624" w:rsidRPr="002513D7" w:rsidRDefault="00DB3624">
      <w:pPr>
        <w:pStyle w:val="ConsPlusCell"/>
        <w:jc w:val="both"/>
      </w:pPr>
      <w:r w:rsidRPr="002513D7">
        <w:t>└──────────────────────────────────────┴─────────────┘</w:t>
      </w:r>
    </w:p>
    <w:p w:rsidR="00DB3624" w:rsidRPr="002513D7" w:rsidRDefault="00DB3624">
      <w:pPr>
        <w:pStyle w:val="ConsPlusNormal"/>
        <w:ind w:firstLine="540"/>
        <w:jc w:val="both"/>
      </w:pPr>
    </w:p>
    <w:p w:rsidR="00DB3624" w:rsidRDefault="00DB3624" w:rsidP="0046688D">
      <w:pPr>
        <w:pStyle w:val="ConsPlusNormal"/>
        <w:ind w:firstLine="540"/>
        <w:jc w:val="both"/>
      </w:pPr>
      <w:r>
        <w:t>При реализации книжной продукции и периодических печатных изданий сопутствующими товарами являются изделия из бумаги и картона, печатные издания, галантерея (металлическая, пластмассовая и кожаная), канцелярские товары, гигиенические средства, табачные изделия, парфюмерно-косметические товары, отдельные продовольственные товары в фабричной упаковке.</w:t>
      </w:r>
    </w:p>
    <w:p w:rsidR="00DB3624" w:rsidRDefault="00DB3624" w:rsidP="0046688D">
      <w:pPr>
        <w:pStyle w:val="ConsPlusNormal"/>
        <w:ind w:firstLine="540"/>
        <w:jc w:val="both"/>
      </w:pPr>
      <w:r>
        <w:t>В случае отсутствия ведения раздельного учета реализации книжной продукции, периодических печатных изданий и сопутствующих товаров применяется значение корректирующего коэффициента К2, установленное для товарной группы "Прочие виды товаров".</w:t>
      </w:r>
    </w:p>
    <w:p w:rsidR="00DB3624" w:rsidRDefault="00DB3624" w:rsidP="0046688D">
      <w:pPr>
        <w:pStyle w:val="ConsPlusNormal"/>
        <w:ind w:firstLine="540"/>
        <w:jc w:val="both"/>
      </w:pPr>
      <w:r>
        <w:t>8.3.3. Значение корректирующего коэффициента К2 в отношении разносной торговли, осуществляемой индивидуальными предпринимателями (за исключением торговли подакцизными товарами, лекарственными препаратами, изделиями из драгоценных камней, оружием и патронами к нему, меховыми изделиями и технически сложными товарами бытового назначения), применяется в размере 1.</w:t>
      </w:r>
    </w:p>
    <w:p w:rsidR="00DB3624" w:rsidRPr="00014FA2" w:rsidRDefault="00DB3624" w:rsidP="0046688D">
      <w:pPr>
        <w:pStyle w:val="ConsPlusNormal"/>
        <w:ind w:firstLine="540"/>
        <w:jc w:val="both"/>
      </w:pPr>
      <w:r>
        <w:t>8.3.4. Таблица значений корректирующего коэффициента К2 в отношении вида предпринимательской деятельности "Оказание услуг общественного питания"</w:t>
      </w:r>
    </w:p>
    <w:p w:rsidR="00DB3624" w:rsidRPr="00014FA2" w:rsidRDefault="00DB3624" w:rsidP="0046688D">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318"/>
        <w:gridCol w:w="732"/>
        <w:gridCol w:w="732"/>
        <w:gridCol w:w="732"/>
        <w:gridCol w:w="732"/>
        <w:gridCol w:w="854"/>
        <w:gridCol w:w="854"/>
        <w:gridCol w:w="854"/>
      </w:tblGrid>
      <w:tr w:rsidR="00DB3624" w:rsidRPr="00D2359A">
        <w:trPr>
          <w:trHeight w:val="227"/>
        </w:trPr>
        <w:tc>
          <w:tcPr>
            <w:tcW w:w="2318" w:type="dxa"/>
            <w:vMerge w:val="restart"/>
          </w:tcPr>
          <w:p w:rsidR="00DB3624" w:rsidRPr="002513D7" w:rsidRDefault="00DB3624">
            <w:pPr>
              <w:pStyle w:val="ConsPlusNonformat"/>
              <w:jc w:val="both"/>
            </w:pPr>
            <w:r w:rsidRPr="002513D7">
              <w:t xml:space="preserve"> Размер площади, </w:t>
            </w:r>
          </w:p>
          <w:p w:rsidR="00DB3624" w:rsidRPr="002513D7" w:rsidRDefault="00DB3624">
            <w:pPr>
              <w:pStyle w:val="ConsPlusNonformat"/>
              <w:jc w:val="both"/>
            </w:pPr>
            <w:r w:rsidRPr="002513D7">
              <w:t xml:space="preserve">      кв. м      </w:t>
            </w:r>
          </w:p>
        </w:tc>
        <w:tc>
          <w:tcPr>
            <w:tcW w:w="5490" w:type="dxa"/>
            <w:gridSpan w:val="7"/>
          </w:tcPr>
          <w:p w:rsidR="00DB3624" w:rsidRPr="002513D7" w:rsidRDefault="00DB3624">
            <w:pPr>
              <w:pStyle w:val="ConsPlusNonformat"/>
              <w:jc w:val="both"/>
            </w:pPr>
            <w:r w:rsidRPr="002513D7">
              <w:t xml:space="preserve"> Величина дохода за налоговый период </w:t>
            </w:r>
          </w:p>
          <w:p w:rsidR="00DB3624" w:rsidRPr="002513D7" w:rsidRDefault="00DB3624">
            <w:pPr>
              <w:pStyle w:val="ConsPlusNonformat"/>
              <w:jc w:val="both"/>
            </w:pPr>
            <w:r w:rsidRPr="002513D7">
              <w:t xml:space="preserve">          на 1 кв. м, рублей         </w:t>
            </w:r>
          </w:p>
        </w:tc>
      </w:tr>
      <w:tr w:rsidR="00DB3624" w:rsidRPr="00D2359A">
        <w:tc>
          <w:tcPr>
            <w:tcW w:w="2196" w:type="dxa"/>
            <w:vMerge/>
            <w:tcBorders>
              <w:top w:val="nil"/>
            </w:tcBorders>
          </w:tcPr>
          <w:p w:rsidR="00DB3624" w:rsidRPr="00D2359A" w:rsidRDefault="00DB3624"/>
        </w:tc>
        <w:tc>
          <w:tcPr>
            <w:tcW w:w="732" w:type="dxa"/>
            <w:tcBorders>
              <w:top w:val="nil"/>
            </w:tcBorders>
          </w:tcPr>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1500</w:t>
            </w:r>
          </w:p>
          <w:p w:rsidR="00DB3624" w:rsidRPr="002513D7" w:rsidRDefault="00DB3624">
            <w:pPr>
              <w:pStyle w:val="ConsPlusNonformat"/>
              <w:jc w:val="both"/>
            </w:pPr>
            <w:r w:rsidRPr="002513D7">
              <w:t>вкл.</w:t>
            </w:r>
          </w:p>
        </w:tc>
        <w:tc>
          <w:tcPr>
            <w:tcW w:w="732"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1500</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2100</w:t>
            </w:r>
          </w:p>
          <w:p w:rsidR="00DB3624" w:rsidRPr="002513D7" w:rsidRDefault="00DB3624">
            <w:pPr>
              <w:pStyle w:val="ConsPlusNonformat"/>
              <w:jc w:val="both"/>
            </w:pPr>
            <w:r w:rsidRPr="002513D7">
              <w:t>вкл.</w:t>
            </w:r>
          </w:p>
        </w:tc>
        <w:tc>
          <w:tcPr>
            <w:tcW w:w="732"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2100</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4500</w:t>
            </w:r>
          </w:p>
          <w:p w:rsidR="00DB3624" w:rsidRPr="002513D7" w:rsidRDefault="00DB3624">
            <w:pPr>
              <w:pStyle w:val="ConsPlusNonformat"/>
              <w:jc w:val="both"/>
            </w:pPr>
            <w:r w:rsidRPr="002513D7">
              <w:t>вкл.</w:t>
            </w:r>
          </w:p>
        </w:tc>
        <w:tc>
          <w:tcPr>
            <w:tcW w:w="732"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4500</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7500</w:t>
            </w:r>
          </w:p>
          <w:p w:rsidR="00DB3624" w:rsidRPr="002513D7" w:rsidRDefault="00DB3624">
            <w:pPr>
              <w:pStyle w:val="ConsPlusNonformat"/>
              <w:jc w:val="both"/>
            </w:pPr>
            <w:r w:rsidRPr="002513D7">
              <w:t>вкл.</w:t>
            </w:r>
          </w:p>
        </w:tc>
        <w:tc>
          <w:tcPr>
            <w:tcW w:w="854"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 xml:space="preserve">7500 </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12000</w:t>
            </w:r>
          </w:p>
          <w:p w:rsidR="00DB3624" w:rsidRPr="002513D7" w:rsidRDefault="00DB3624">
            <w:pPr>
              <w:pStyle w:val="ConsPlusNonformat"/>
              <w:jc w:val="both"/>
            </w:pPr>
            <w:r w:rsidRPr="002513D7">
              <w:t xml:space="preserve">вкл. </w:t>
            </w:r>
          </w:p>
        </w:tc>
        <w:tc>
          <w:tcPr>
            <w:tcW w:w="854"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12000</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24000</w:t>
            </w:r>
          </w:p>
          <w:p w:rsidR="00DB3624" w:rsidRPr="002513D7" w:rsidRDefault="00DB3624">
            <w:pPr>
              <w:pStyle w:val="ConsPlusNonformat"/>
              <w:jc w:val="both"/>
            </w:pPr>
            <w:r w:rsidRPr="002513D7">
              <w:t xml:space="preserve">вкл. </w:t>
            </w:r>
          </w:p>
        </w:tc>
        <w:tc>
          <w:tcPr>
            <w:tcW w:w="854" w:type="dxa"/>
            <w:tcBorders>
              <w:top w:val="nil"/>
            </w:tcBorders>
          </w:tcPr>
          <w:p w:rsidR="00DB3624" w:rsidRPr="002513D7" w:rsidRDefault="00DB3624">
            <w:pPr>
              <w:pStyle w:val="ConsPlusNonformat"/>
              <w:jc w:val="both"/>
            </w:pPr>
            <w:r w:rsidRPr="002513D7">
              <w:t>Свыше</w:t>
            </w:r>
          </w:p>
          <w:p w:rsidR="00DB3624" w:rsidRPr="002513D7" w:rsidRDefault="00DB3624">
            <w:pPr>
              <w:pStyle w:val="ConsPlusNonformat"/>
              <w:jc w:val="both"/>
            </w:pPr>
            <w:r w:rsidRPr="002513D7">
              <w:t>24000</w:t>
            </w:r>
          </w:p>
        </w:tc>
      </w:tr>
      <w:tr w:rsidR="00DB3624" w:rsidRPr="00D2359A">
        <w:tc>
          <w:tcPr>
            <w:tcW w:w="2196" w:type="dxa"/>
            <w:vMerge/>
            <w:tcBorders>
              <w:top w:val="nil"/>
            </w:tcBorders>
          </w:tcPr>
          <w:p w:rsidR="00DB3624" w:rsidRPr="00D2359A" w:rsidRDefault="00DB3624"/>
        </w:tc>
        <w:tc>
          <w:tcPr>
            <w:tcW w:w="5490" w:type="dxa"/>
            <w:gridSpan w:val="7"/>
            <w:tcBorders>
              <w:top w:val="nil"/>
            </w:tcBorders>
          </w:tcPr>
          <w:p w:rsidR="00DB3624" w:rsidRPr="002513D7" w:rsidRDefault="00DB3624">
            <w:pPr>
              <w:pStyle w:val="ConsPlusNonformat"/>
              <w:jc w:val="both"/>
            </w:pPr>
            <w:r w:rsidRPr="002513D7">
              <w:t xml:space="preserve">Величина дохода за месяц на 1 кв. м, </w:t>
            </w:r>
          </w:p>
          <w:p w:rsidR="00DB3624" w:rsidRPr="002513D7" w:rsidRDefault="00DB3624">
            <w:pPr>
              <w:pStyle w:val="ConsPlusNonformat"/>
              <w:jc w:val="both"/>
            </w:pPr>
            <w:r w:rsidRPr="002513D7">
              <w:t xml:space="preserve">                руб.                 </w:t>
            </w:r>
          </w:p>
        </w:tc>
      </w:tr>
      <w:tr w:rsidR="00DB3624" w:rsidRPr="00D2359A">
        <w:tc>
          <w:tcPr>
            <w:tcW w:w="2196" w:type="dxa"/>
            <w:vMerge/>
            <w:tcBorders>
              <w:top w:val="nil"/>
            </w:tcBorders>
          </w:tcPr>
          <w:p w:rsidR="00DB3624" w:rsidRPr="00D2359A" w:rsidRDefault="00DB3624"/>
        </w:tc>
        <w:tc>
          <w:tcPr>
            <w:tcW w:w="732" w:type="dxa"/>
            <w:tcBorders>
              <w:top w:val="nil"/>
            </w:tcBorders>
          </w:tcPr>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 xml:space="preserve">500 </w:t>
            </w:r>
          </w:p>
          <w:p w:rsidR="00DB3624" w:rsidRPr="002513D7" w:rsidRDefault="00DB3624">
            <w:pPr>
              <w:pStyle w:val="ConsPlusNonformat"/>
              <w:jc w:val="both"/>
            </w:pPr>
            <w:r w:rsidRPr="002513D7">
              <w:t>вкл.</w:t>
            </w:r>
          </w:p>
        </w:tc>
        <w:tc>
          <w:tcPr>
            <w:tcW w:w="732"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 xml:space="preserve">500 </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 xml:space="preserve">700 </w:t>
            </w:r>
          </w:p>
          <w:p w:rsidR="00DB3624" w:rsidRPr="002513D7" w:rsidRDefault="00DB3624">
            <w:pPr>
              <w:pStyle w:val="ConsPlusNonformat"/>
              <w:jc w:val="both"/>
            </w:pPr>
            <w:r w:rsidRPr="002513D7">
              <w:t>вкл.</w:t>
            </w:r>
          </w:p>
        </w:tc>
        <w:tc>
          <w:tcPr>
            <w:tcW w:w="732"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 xml:space="preserve">700 </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1500</w:t>
            </w:r>
          </w:p>
          <w:p w:rsidR="00DB3624" w:rsidRPr="002513D7" w:rsidRDefault="00DB3624">
            <w:pPr>
              <w:pStyle w:val="ConsPlusNonformat"/>
              <w:jc w:val="both"/>
            </w:pPr>
            <w:r w:rsidRPr="002513D7">
              <w:t>вкл.</w:t>
            </w:r>
          </w:p>
        </w:tc>
        <w:tc>
          <w:tcPr>
            <w:tcW w:w="732"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1500</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2500</w:t>
            </w:r>
          </w:p>
          <w:p w:rsidR="00DB3624" w:rsidRPr="002513D7" w:rsidRDefault="00DB3624">
            <w:pPr>
              <w:pStyle w:val="ConsPlusNonformat"/>
              <w:jc w:val="both"/>
            </w:pPr>
            <w:r w:rsidRPr="002513D7">
              <w:t>вкл.</w:t>
            </w:r>
          </w:p>
        </w:tc>
        <w:tc>
          <w:tcPr>
            <w:tcW w:w="854"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 xml:space="preserve">2500 </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 xml:space="preserve">4000 </w:t>
            </w:r>
          </w:p>
          <w:p w:rsidR="00DB3624" w:rsidRPr="002513D7" w:rsidRDefault="00DB3624">
            <w:pPr>
              <w:pStyle w:val="ConsPlusNonformat"/>
              <w:jc w:val="both"/>
            </w:pPr>
            <w:r w:rsidRPr="002513D7">
              <w:t xml:space="preserve">вкл. </w:t>
            </w:r>
          </w:p>
        </w:tc>
        <w:tc>
          <w:tcPr>
            <w:tcW w:w="854" w:type="dxa"/>
            <w:tcBorders>
              <w:top w:val="nil"/>
            </w:tcBorders>
          </w:tcPr>
          <w:p w:rsidR="00DB3624" w:rsidRPr="002513D7" w:rsidRDefault="00DB3624">
            <w:pPr>
              <w:pStyle w:val="ConsPlusNonformat"/>
              <w:jc w:val="both"/>
            </w:pPr>
            <w:r w:rsidRPr="002513D7">
              <w:t xml:space="preserve"> От  </w:t>
            </w:r>
          </w:p>
          <w:p w:rsidR="00DB3624" w:rsidRPr="002513D7" w:rsidRDefault="00DB3624">
            <w:pPr>
              <w:pStyle w:val="ConsPlusNonformat"/>
              <w:jc w:val="both"/>
            </w:pPr>
            <w:r w:rsidRPr="002513D7">
              <w:t xml:space="preserve">4000 </w:t>
            </w:r>
          </w:p>
          <w:p w:rsidR="00DB3624" w:rsidRPr="002513D7" w:rsidRDefault="00DB3624">
            <w:pPr>
              <w:pStyle w:val="ConsPlusNonformat"/>
              <w:jc w:val="both"/>
            </w:pPr>
            <w:r w:rsidRPr="002513D7">
              <w:t xml:space="preserve"> до  </w:t>
            </w:r>
          </w:p>
          <w:p w:rsidR="00DB3624" w:rsidRPr="002513D7" w:rsidRDefault="00DB3624">
            <w:pPr>
              <w:pStyle w:val="ConsPlusNonformat"/>
              <w:jc w:val="both"/>
            </w:pPr>
            <w:r w:rsidRPr="002513D7">
              <w:t xml:space="preserve">8000 </w:t>
            </w:r>
          </w:p>
          <w:p w:rsidR="00DB3624" w:rsidRPr="002513D7" w:rsidRDefault="00DB3624">
            <w:pPr>
              <w:pStyle w:val="ConsPlusNonformat"/>
              <w:jc w:val="both"/>
            </w:pPr>
            <w:r w:rsidRPr="002513D7">
              <w:t xml:space="preserve">вкл. </w:t>
            </w:r>
          </w:p>
        </w:tc>
        <w:tc>
          <w:tcPr>
            <w:tcW w:w="854" w:type="dxa"/>
            <w:tcBorders>
              <w:top w:val="nil"/>
            </w:tcBorders>
          </w:tcPr>
          <w:p w:rsidR="00DB3624" w:rsidRPr="002513D7" w:rsidRDefault="00DB3624">
            <w:pPr>
              <w:pStyle w:val="ConsPlusNonformat"/>
              <w:jc w:val="both"/>
            </w:pPr>
            <w:r w:rsidRPr="002513D7">
              <w:t>Свыше</w:t>
            </w:r>
          </w:p>
          <w:p w:rsidR="00DB3624" w:rsidRPr="002513D7" w:rsidRDefault="00DB3624">
            <w:pPr>
              <w:pStyle w:val="ConsPlusNonformat"/>
              <w:jc w:val="both"/>
            </w:pPr>
            <w:r w:rsidRPr="002513D7">
              <w:t xml:space="preserve">8000 </w:t>
            </w:r>
          </w:p>
        </w:tc>
      </w:tr>
      <w:tr w:rsidR="00DB3624" w:rsidRPr="00D2359A">
        <w:trPr>
          <w:trHeight w:val="227"/>
        </w:trPr>
        <w:tc>
          <w:tcPr>
            <w:tcW w:w="2318" w:type="dxa"/>
            <w:tcBorders>
              <w:top w:val="nil"/>
            </w:tcBorders>
          </w:tcPr>
          <w:p w:rsidR="00DB3624" w:rsidRPr="002513D7" w:rsidRDefault="00DB3624">
            <w:pPr>
              <w:pStyle w:val="ConsPlusNonformat"/>
              <w:jc w:val="both"/>
            </w:pPr>
            <w:r w:rsidRPr="002513D7">
              <w:t xml:space="preserve">         1       </w:t>
            </w:r>
          </w:p>
        </w:tc>
        <w:tc>
          <w:tcPr>
            <w:tcW w:w="732" w:type="dxa"/>
            <w:tcBorders>
              <w:top w:val="nil"/>
            </w:tcBorders>
          </w:tcPr>
          <w:p w:rsidR="00DB3624" w:rsidRPr="002513D7" w:rsidRDefault="00DB3624">
            <w:pPr>
              <w:pStyle w:val="ConsPlusNonformat"/>
              <w:jc w:val="both"/>
            </w:pPr>
            <w:r w:rsidRPr="002513D7">
              <w:t xml:space="preserve">  2 </w:t>
            </w:r>
          </w:p>
        </w:tc>
        <w:tc>
          <w:tcPr>
            <w:tcW w:w="732" w:type="dxa"/>
            <w:tcBorders>
              <w:top w:val="nil"/>
            </w:tcBorders>
          </w:tcPr>
          <w:p w:rsidR="00DB3624" w:rsidRPr="002513D7" w:rsidRDefault="00DB3624">
            <w:pPr>
              <w:pStyle w:val="ConsPlusNonformat"/>
              <w:jc w:val="both"/>
            </w:pPr>
            <w:r w:rsidRPr="002513D7">
              <w:t xml:space="preserve">  3 </w:t>
            </w:r>
          </w:p>
        </w:tc>
        <w:tc>
          <w:tcPr>
            <w:tcW w:w="732" w:type="dxa"/>
            <w:tcBorders>
              <w:top w:val="nil"/>
            </w:tcBorders>
          </w:tcPr>
          <w:p w:rsidR="00DB3624" w:rsidRPr="002513D7" w:rsidRDefault="00DB3624">
            <w:pPr>
              <w:pStyle w:val="ConsPlusNonformat"/>
              <w:jc w:val="both"/>
            </w:pPr>
            <w:r w:rsidRPr="002513D7">
              <w:t xml:space="preserve">  4 </w:t>
            </w:r>
          </w:p>
        </w:tc>
        <w:tc>
          <w:tcPr>
            <w:tcW w:w="732" w:type="dxa"/>
            <w:tcBorders>
              <w:top w:val="nil"/>
            </w:tcBorders>
          </w:tcPr>
          <w:p w:rsidR="00DB3624" w:rsidRPr="002513D7" w:rsidRDefault="00DB3624">
            <w:pPr>
              <w:pStyle w:val="ConsPlusNonformat"/>
              <w:jc w:val="both"/>
            </w:pPr>
            <w:r w:rsidRPr="002513D7">
              <w:t xml:space="preserve">  5 </w:t>
            </w:r>
          </w:p>
        </w:tc>
        <w:tc>
          <w:tcPr>
            <w:tcW w:w="854" w:type="dxa"/>
            <w:tcBorders>
              <w:top w:val="nil"/>
            </w:tcBorders>
          </w:tcPr>
          <w:p w:rsidR="00DB3624" w:rsidRPr="002513D7" w:rsidRDefault="00DB3624">
            <w:pPr>
              <w:pStyle w:val="ConsPlusNonformat"/>
              <w:jc w:val="both"/>
            </w:pPr>
            <w:r w:rsidRPr="002513D7">
              <w:t xml:space="preserve">  6  </w:t>
            </w:r>
          </w:p>
        </w:tc>
        <w:tc>
          <w:tcPr>
            <w:tcW w:w="854" w:type="dxa"/>
            <w:tcBorders>
              <w:top w:val="nil"/>
            </w:tcBorders>
          </w:tcPr>
          <w:p w:rsidR="00DB3624" w:rsidRPr="002513D7" w:rsidRDefault="00DB3624">
            <w:pPr>
              <w:pStyle w:val="ConsPlusNonformat"/>
              <w:jc w:val="both"/>
            </w:pPr>
            <w:r w:rsidRPr="002513D7">
              <w:t xml:space="preserve">  7  </w:t>
            </w:r>
          </w:p>
        </w:tc>
        <w:tc>
          <w:tcPr>
            <w:tcW w:w="854" w:type="dxa"/>
            <w:tcBorders>
              <w:top w:val="nil"/>
            </w:tcBorders>
          </w:tcPr>
          <w:p w:rsidR="00DB3624" w:rsidRPr="002513D7" w:rsidRDefault="00DB3624">
            <w:pPr>
              <w:pStyle w:val="ConsPlusNonformat"/>
              <w:jc w:val="both"/>
            </w:pPr>
            <w:r w:rsidRPr="002513D7">
              <w:t xml:space="preserve">  8  </w:t>
            </w:r>
          </w:p>
        </w:tc>
      </w:tr>
      <w:tr w:rsidR="00DB3624" w:rsidRPr="00D2359A">
        <w:trPr>
          <w:trHeight w:val="227"/>
        </w:trPr>
        <w:tc>
          <w:tcPr>
            <w:tcW w:w="2318" w:type="dxa"/>
            <w:tcBorders>
              <w:top w:val="nil"/>
            </w:tcBorders>
          </w:tcPr>
          <w:p w:rsidR="00DB3624" w:rsidRPr="002513D7" w:rsidRDefault="00DB3624">
            <w:pPr>
              <w:pStyle w:val="ConsPlusNonformat"/>
              <w:jc w:val="both"/>
            </w:pPr>
            <w:r w:rsidRPr="002513D7">
              <w:t>До 4 включительно</w:t>
            </w:r>
          </w:p>
        </w:tc>
        <w:tc>
          <w:tcPr>
            <w:tcW w:w="732" w:type="dxa"/>
            <w:tcBorders>
              <w:top w:val="nil"/>
            </w:tcBorders>
          </w:tcPr>
          <w:p w:rsidR="00DB3624" w:rsidRPr="002513D7" w:rsidRDefault="00DB3624">
            <w:pPr>
              <w:pStyle w:val="ConsPlusNonformat"/>
              <w:jc w:val="both"/>
            </w:pPr>
            <w:r w:rsidRPr="002513D7">
              <w:t>0,11</w:t>
            </w:r>
          </w:p>
        </w:tc>
        <w:tc>
          <w:tcPr>
            <w:tcW w:w="732" w:type="dxa"/>
            <w:tcBorders>
              <w:top w:val="nil"/>
            </w:tcBorders>
          </w:tcPr>
          <w:p w:rsidR="00DB3624" w:rsidRPr="002513D7" w:rsidRDefault="00DB3624">
            <w:pPr>
              <w:pStyle w:val="ConsPlusNonformat"/>
              <w:jc w:val="both"/>
            </w:pPr>
            <w:r w:rsidRPr="002513D7">
              <w:t>0,28</w:t>
            </w:r>
          </w:p>
        </w:tc>
        <w:tc>
          <w:tcPr>
            <w:tcW w:w="732" w:type="dxa"/>
            <w:tcBorders>
              <w:top w:val="nil"/>
            </w:tcBorders>
          </w:tcPr>
          <w:p w:rsidR="00DB3624" w:rsidRPr="002513D7" w:rsidRDefault="00DB3624">
            <w:pPr>
              <w:pStyle w:val="ConsPlusNonformat"/>
              <w:jc w:val="both"/>
            </w:pPr>
            <w:r w:rsidRPr="002513D7">
              <w:t>0,35</w:t>
            </w:r>
          </w:p>
        </w:tc>
        <w:tc>
          <w:tcPr>
            <w:tcW w:w="732"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1    </w:t>
            </w:r>
          </w:p>
        </w:tc>
        <w:tc>
          <w:tcPr>
            <w:tcW w:w="854" w:type="dxa"/>
            <w:tcBorders>
              <w:top w:val="nil"/>
            </w:tcBorders>
          </w:tcPr>
          <w:p w:rsidR="00DB3624" w:rsidRPr="002513D7" w:rsidRDefault="00DB3624">
            <w:pPr>
              <w:pStyle w:val="ConsPlusNonformat"/>
              <w:jc w:val="both"/>
            </w:pPr>
            <w:r w:rsidRPr="002513D7">
              <w:t xml:space="preserve">1    </w:t>
            </w:r>
          </w:p>
        </w:tc>
        <w:tc>
          <w:tcPr>
            <w:tcW w:w="854" w:type="dxa"/>
            <w:tcBorders>
              <w:top w:val="nil"/>
            </w:tcBorders>
          </w:tcPr>
          <w:p w:rsidR="00DB3624" w:rsidRPr="002513D7" w:rsidRDefault="00DB3624">
            <w:pPr>
              <w:pStyle w:val="ConsPlusNonformat"/>
              <w:jc w:val="both"/>
            </w:pPr>
            <w:r w:rsidRPr="002513D7">
              <w:t xml:space="preserve">1    </w:t>
            </w:r>
          </w:p>
        </w:tc>
      </w:tr>
      <w:tr w:rsidR="00DB3624" w:rsidRPr="00D2359A">
        <w:trPr>
          <w:trHeight w:val="227"/>
        </w:trPr>
        <w:tc>
          <w:tcPr>
            <w:tcW w:w="2318" w:type="dxa"/>
            <w:tcBorders>
              <w:top w:val="nil"/>
            </w:tcBorders>
          </w:tcPr>
          <w:p w:rsidR="00DB3624" w:rsidRPr="002513D7" w:rsidRDefault="00DB3624">
            <w:pPr>
              <w:pStyle w:val="ConsPlusNonformat"/>
              <w:jc w:val="both"/>
            </w:pPr>
            <w:r w:rsidRPr="002513D7">
              <w:t xml:space="preserve">От 4 до 6        </w:t>
            </w:r>
          </w:p>
          <w:p w:rsidR="00DB3624" w:rsidRPr="002513D7" w:rsidRDefault="00DB3624">
            <w:pPr>
              <w:pStyle w:val="ConsPlusNonformat"/>
              <w:jc w:val="both"/>
            </w:pPr>
            <w:r w:rsidRPr="002513D7">
              <w:t xml:space="preserve">включительно     </w:t>
            </w:r>
          </w:p>
        </w:tc>
        <w:tc>
          <w:tcPr>
            <w:tcW w:w="732" w:type="dxa"/>
            <w:tcBorders>
              <w:top w:val="nil"/>
            </w:tcBorders>
          </w:tcPr>
          <w:p w:rsidR="00DB3624" w:rsidRPr="002513D7" w:rsidRDefault="00DB3624">
            <w:pPr>
              <w:pStyle w:val="ConsPlusNonformat"/>
              <w:jc w:val="both"/>
            </w:pPr>
            <w:r w:rsidRPr="002513D7">
              <w:t>0,08</w:t>
            </w:r>
          </w:p>
        </w:tc>
        <w:tc>
          <w:tcPr>
            <w:tcW w:w="732" w:type="dxa"/>
            <w:tcBorders>
              <w:top w:val="nil"/>
            </w:tcBorders>
          </w:tcPr>
          <w:p w:rsidR="00DB3624" w:rsidRPr="002513D7" w:rsidRDefault="00DB3624">
            <w:pPr>
              <w:pStyle w:val="ConsPlusNonformat"/>
              <w:jc w:val="both"/>
            </w:pPr>
            <w:r w:rsidRPr="002513D7">
              <w:t>0,16</w:t>
            </w:r>
          </w:p>
        </w:tc>
        <w:tc>
          <w:tcPr>
            <w:tcW w:w="732" w:type="dxa"/>
            <w:tcBorders>
              <w:top w:val="nil"/>
            </w:tcBorders>
          </w:tcPr>
          <w:p w:rsidR="00DB3624" w:rsidRPr="002513D7" w:rsidRDefault="00DB3624">
            <w:pPr>
              <w:pStyle w:val="ConsPlusNonformat"/>
              <w:jc w:val="both"/>
            </w:pPr>
            <w:r w:rsidRPr="002513D7">
              <w:t>0,23</w:t>
            </w:r>
          </w:p>
        </w:tc>
        <w:tc>
          <w:tcPr>
            <w:tcW w:w="732" w:type="dxa"/>
            <w:tcBorders>
              <w:top w:val="nil"/>
            </w:tcBorders>
          </w:tcPr>
          <w:p w:rsidR="00DB3624" w:rsidRPr="002513D7" w:rsidRDefault="00DB3624">
            <w:pPr>
              <w:pStyle w:val="ConsPlusNonformat"/>
              <w:jc w:val="both"/>
            </w:pPr>
            <w:r w:rsidRPr="002513D7">
              <w:t>0,48</w:t>
            </w:r>
          </w:p>
        </w:tc>
        <w:tc>
          <w:tcPr>
            <w:tcW w:w="854" w:type="dxa"/>
            <w:tcBorders>
              <w:top w:val="nil"/>
            </w:tcBorders>
          </w:tcPr>
          <w:p w:rsidR="00DB3624" w:rsidRPr="002513D7" w:rsidRDefault="00DB3624">
            <w:pPr>
              <w:pStyle w:val="ConsPlusNonformat"/>
              <w:jc w:val="both"/>
            </w:pPr>
            <w:r w:rsidRPr="002513D7">
              <w:t xml:space="preserve">0,72 </w:t>
            </w:r>
          </w:p>
        </w:tc>
        <w:tc>
          <w:tcPr>
            <w:tcW w:w="854" w:type="dxa"/>
            <w:tcBorders>
              <w:top w:val="nil"/>
            </w:tcBorders>
          </w:tcPr>
          <w:p w:rsidR="00DB3624" w:rsidRPr="002513D7" w:rsidRDefault="00DB3624">
            <w:pPr>
              <w:pStyle w:val="ConsPlusNonformat"/>
              <w:jc w:val="both"/>
            </w:pPr>
            <w:r w:rsidRPr="002513D7">
              <w:t xml:space="preserve">0,95 </w:t>
            </w:r>
          </w:p>
        </w:tc>
        <w:tc>
          <w:tcPr>
            <w:tcW w:w="854" w:type="dxa"/>
            <w:tcBorders>
              <w:top w:val="nil"/>
            </w:tcBorders>
          </w:tcPr>
          <w:p w:rsidR="00DB3624" w:rsidRPr="002513D7" w:rsidRDefault="00DB3624">
            <w:pPr>
              <w:pStyle w:val="ConsPlusNonformat"/>
              <w:jc w:val="both"/>
            </w:pPr>
            <w:r w:rsidRPr="002513D7">
              <w:t xml:space="preserve">1    </w:t>
            </w:r>
          </w:p>
        </w:tc>
      </w:tr>
      <w:tr w:rsidR="00DB3624" w:rsidRPr="00D2359A">
        <w:trPr>
          <w:trHeight w:val="227"/>
        </w:trPr>
        <w:tc>
          <w:tcPr>
            <w:tcW w:w="2318" w:type="dxa"/>
            <w:tcBorders>
              <w:top w:val="nil"/>
            </w:tcBorders>
          </w:tcPr>
          <w:p w:rsidR="00DB3624" w:rsidRPr="002513D7" w:rsidRDefault="00DB3624">
            <w:pPr>
              <w:pStyle w:val="ConsPlusNonformat"/>
              <w:jc w:val="both"/>
            </w:pPr>
            <w:r w:rsidRPr="002513D7">
              <w:t xml:space="preserve">От 6 до 50       </w:t>
            </w:r>
          </w:p>
          <w:p w:rsidR="00DB3624" w:rsidRPr="002513D7" w:rsidRDefault="00DB3624">
            <w:pPr>
              <w:pStyle w:val="ConsPlusNonformat"/>
              <w:jc w:val="both"/>
            </w:pPr>
            <w:r w:rsidRPr="002513D7">
              <w:t xml:space="preserve">включительно     </w:t>
            </w:r>
          </w:p>
        </w:tc>
        <w:tc>
          <w:tcPr>
            <w:tcW w:w="732" w:type="dxa"/>
            <w:tcBorders>
              <w:top w:val="nil"/>
            </w:tcBorders>
          </w:tcPr>
          <w:p w:rsidR="00DB3624" w:rsidRPr="002513D7" w:rsidRDefault="00DB3624">
            <w:pPr>
              <w:pStyle w:val="ConsPlusNonformat"/>
              <w:jc w:val="both"/>
            </w:pPr>
            <w:r w:rsidRPr="002513D7">
              <w:t>0,07</w:t>
            </w:r>
          </w:p>
        </w:tc>
        <w:tc>
          <w:tcPr>
            <w:tcW w:w="732" w:type="dxa"/>
            <w:tcBorders>
              <w:top w:val="nil"/>
            </w:tcBorders>
          </w:tcPr>
          <w:p w:rsidR="00DB3624" w:rsidRPr="002513D7" w:rsidRDefault="00DB3624">
            <w:pPr>
              <w:pStyle w:val="ConsPlusNonformat"/>
              <w:jc w:val="both"/>
            </w:pPr>
            <w:r w:rsidRPr="002513D7">
              <w:t>0,14</w:t>
            </w:r>
          </w:p>
        </w:tc>
        <w:tc>
          <w:tcPr>
            <w:tcW w:w="732" w:type="dxa"/>
            <w:tcBorders>
              <w:top w:val="nil"/>
            </w:tcBorders>
          </w:tcPr>
          <w:p w:rsidR="00DB3624" w:rsidRPr="002513D7" w:rsidRDefault="00DB3624">
            <w:pPr>
              <w:pStyle w:val="ConsPlusNonformat"/>
              <w:jc w:val="both"/>
            </w:pPr>
            <w:r w:rsidRPr="002513D7">
              <w:t>0,17</w:t>
            </w:r>
          </w:p>
        </w:tc>
        <w:tc>
          <w:tcPr>
            <w:tcW w:w="732" w:type="dxa"/>
            <w:tcBorders>
              <w:top w:val="nil"/>
            </w:tcBorders>
          </w:tcPr>
          <w:p w:rsidR="00DB3624" w:rsidRPr="002513D7" w:rsidRDefault="00DB3624">
            <w:pPr>
              <w:pStyle w:val="ConsPlusNonformat"/>
              <w:jc w:val="both"/>
            </w:pPr>
            <w:r w:rsidRPr="002513D7">
              <w:t>0,38</w:t>
            </w:r>
          </w:p>
        </w:tc>
        <w:tc>
          <w:tcPr>
            <w:tcW w:w="854" w:type="dxa"/>
            <w:tcBorders>
              <w:top w:val="nil"/>
            </w:tcBorders>
          </w:tcPr>
          <w:p w:rsidR="00DB3624" w:rsidRPr="002513D7" w:rsidRDefault="00DB3624">
            <w:pPr>
              <w:pStyle w:val="ConsPlusNonformat"/>
              <w:jc w:val="both"/>
            </w:pPr>
            <w:r w:rsidRPr="002513D7">
              <w:t xml:space="preserve">0,6  </w:t>
            </w:r>
          </w:p>
        </w:tc>
        <w:tc>
          <w:tcPr>
            <w:tcW w:w="854" w:type="dxa"/>
            <w:tcBorders>
              <w:top w:val="nil"/>
            </w:tcBorders>
          </w:tcPr>
          <w:p w:rsidR="00DB3624" w:rsidRPr="002513D7" w:rsidRDefault="00DB3624">
            <w:pPr>
              <w:pStyle w:val="ConsPlusNonformat"/>
              <w:jc w:val="both"/>
            </w:pPr>
            <w:r w:rsidRPr="002513D7">
              <w:t xml:space="preserve">0,8  </w:t>
            </w:r>
          </w:p>
        </w:tc>
        <w:tc>
          <w:tcPr>
            <w:tcW w:w="854" w:type="dxa"/>
            <w:tcBorders>
              <w:top w:val="nil"/>
            </w:tcBorders>
          </w:tcPr>
          <w:p w:rsidR="00DB3624" w:rsidRPr="002513D7" w:rsidRDefault="00DB3624">
            <w:pPr>
              <w:pStyle w:val="ConsPlusNonformat"/>
              <w:jc w:val="both"/>
            </w:pPr>
            <w:r w:rsidRPr="002513D7">
              <w:t xml:space="preserve">1    </w:t>
            </w:r>
          </w:p>
        </w:tc>
      </w:tr>
      <w:tr w:rsidR="00DB3624" w:rsidRPr="00D2359A">
        <w:trPr>
          <w:trHeight w:val="227"/>
        </w:trPr>
        <w:tc>
          <w:tcPr>
            <w:tcW w:w="2318" w:type="dxa"/>
            <w:tcBorders>
              <w:top w:val="nil"/>
            </w:tcBorders>
          </w:tcPr>
          <w:p w:rsidR="00DB3624" w:rsidRPr="002513D7" w:rsidRDefault="00DB3624">
            <w:pPr>
              <w:pStyle w:val="ConsPlusNonformat"/>
              <w:jc w:val="both"/>
            </w:pPr>
            <w:r w:rsidRPr="002513D7">
              <w:t xml:space="preserve">От 50 до 100     </w:t>
            </w:r>
          </w:p>
          <w:p w:rsidR="00DB3624" w:rsidRPr="002513D7" w:rsidRDefault="00DB3624">
            <w:pPr>
              <w:pStyle w:val="ConsPlusNonformat"/>
              <w:jc w:val="both"/>
            </w:pPr>
            <w:r w:rsidRPr="002513D7">
              <w:t xml:space="preserve">включительно     </w:t>
            </w:r>
          </w:p>
        </w:tc>
        <w:tc>
          <w:tcPr>
            <w:tcW w:w="732" w:type="dxa"/>
            <w:tcBorders>
              <w:top w:val="nil"/>
            </w:tcBorders>
          </w:tcPr>
          <w:p w:rsidR="00DB3624" w:rsidRPr="002513D7" w:rsidRDefault="00DB3624">
            <w:pPr>
              <w:pStyle w:val="ConsPlusNonformat"/>
              <w:jc w:val="both"/>
            </w:pPr>
            <w:r w:rsidRPr="002513D7">
              <w:t>0,06</w:t>
            </w:r>
          </w:p>
        </w:tc>
        <w:tc>
          <w:tcPr>
            <w:tcW w:w="732" w:type="dxa"/>
            <w:tcBorders>
              <w:top w:val="nil"/>
            </w:tcBorders>
          </w:tcPr>
          <w:p w:rsidR="00DB3624" w:rsidRPr="002513D7" w:rsidRDefault="00DB3624">
            <w:pPr>
              <w:pStyle w:val="ConsPlusNonformat"/>
              <w:jc w:val="both"/>
            </w:pPr>
            <w:r w:rsidRPr="002513D7">
              <w:t>0,12</w:t>
            </w:r>
          </w:p>
        </w:tc>
        <w:tc>
          <w:tcPr>
            <w:tcW w:w="732" w:type="dxa"/>
            <w:tcBorders>
              <w:top w:val="nil"/>
            </w:tcBorders>
          </w:tcPr>
          <w:p w:rsidR="00DB3624" w:rsidRPr="002513D7" w:rsidRDefault="00DB3624">
            <w:pPr>
              <w:pStyle w:val="ConsPlusNonformat"/>
              <w:jc w:val="both"/>
            </w:pPr>
            <w:r w:rsidRPr="002513D7">
              <w:t>0,16</w:t>
            </w:r>
          </w:p>
        </w:tc>
        <w:tc>
          <w:tcPr>
            <w:tcW w:w="732" w:type="dxa"/>
            <w:tcBorders>
              <w:top w:val="nil"/>
            </w:tcBorders>
          </w:tcPr>
          <w:p w:rsidR="00DB3624" w:rsidRPr="002513D7" w:rsidRDefault="00DB3624">
            <w:pPr>
              <w:pStyle w:val="ConsPlusNonformat"/>
              <w:jc w:val="both"/>
            </w:pPr>
            <w:r w:rsidRPr="002513D7">
              <w:t>0,36</w:t>
            </w:r>
          </w:p>
        </w:tc>
        <w:tc>
          <w:tcPr>
            <w:tcW w:w="854" w:type="dxa"/>
            <w:tcBorders>
              <w:top w:val="nil"/>
            </w:tcBorders>
          </w:tcPr>
          <w:p w:rsidR="00DB3624" w:rsidRPr="002513D7" w:rsidRDefault="00DB3624">
            <w:pPr>
              <w:pStyle w:val="ConsPlusNonformat"/>
              <w:jc w:val="both"/>
            </w:pPr>
            <w:r w:rsidRPr="002513D7">
              <w:t xml:space="preserve">0,55 </w:t>
            </w:r>
          </w:p>
        </w:tc>
        <w:tc>
          <w:tcPr>
            <w:tcW w:w="854" w:type="dxa"/>
            <w:tcBorders>
              <w:top w:val="nil"/>
            </w:tcBorders>
          </w:tcPr>
          <w:p w:rsidR="00DB3624" w:rsidRPr="002513D7" w:rsidRDefault="00DB3624">
            <w:pPr>
              <w:pStyle w:val="ConsPlusNonformat"/>
              <w:jc w:val="both"/>
            </w:pPr>
            <w:r w:rsidRPr="002513D7">
              <w:t xml:space="preserve">0,76 </w:t>
            </w:r>
          </w:p>
        </w:tc>
        <w:tc>
          <w:tcPr>
            <w:tcW w:w="854" w:type="dxa"/>
            <w:tcBorders>
              <w:top w:val="nil"/>
            </w:tcBorders>
          </w:tcPr>
          <w:p w:rsidR="00DB3624" w:rsidRPr="002513D7" w:rsidRDefault="00DB3624">
            <w:pPr>
              <w:pStyle w:val="ConsPlusNonformat"/>
              <w:jc w:val="both"/>
            </w:pPr>
            <w:r w:rsidRPr="002513D7">
              <w:t xml:space="preserve">1    </w:t>
            </w:r>
          </w:p>
        </w:tc>
      </w:tr>
      <w:tr w:rsidR="00DB3624" w:rsidRPr="00D2359A">
        <w:trPr>
          <w:trHeight w:val="227"/>
        </w:trPr>
        <w:tc>
          <w:tcPr>
            <w:tcW w:w="2318" w:type="dxa"/>
            <w:tcBorders>
              <w:top w:val="nil"/>
            </w:tcBorders>
          </w:tcPr>
          <w:p w:rsidR="00DB3624" w:rsidRPr="002513D7" w:rsidRDefault="00DB3624">
            <w:pPr>
              <w:pStyle w:val="ConsPlusNonformat"/>
              <w:jc w:val="both"/>
            </w:pPr>
            <w:r w:rsidRPr="002513D7">
              <w:t xml:space="preserve">От 100 до 150    </w:t>
            </w:r>
          </w:p>
          <w:p w:rsidR="00DB3624" w:rsidRPr="002513D7" w:rsidRDefault="00DB3624">
            <w:pPr>
              <w:pStyle w:val="ConsPlusNonformat"/>
              <w:jc w:val="both"/>
            </w:pPr>
            <w:r w:rsidRPr="002513D7">
              <w:t xml:space="preserve">включительно     </w:t>
            </w:r>
          </w:p>
        </w:tc>
        <w:tc>
          <w:tcPr>
            <w:tcW w:w="732" w:type="dxa"/>
            <w:tcBorders>
              <w:top w:val="nil"/>
            </w:tcBorders>
          </w:tcPr>
          <w:p w:rsidR="00DB3624" w:rsidRPr="002513D7" w:rsidRDefault="00DB3624">
            <w:pPr>
              <w:pStyle w:val="ConsPlusNonformat"/>
              <w:jc w:val="both"/>
            </w:pPr>
            <w:r w:rsidRPr="002513D7">
              <w:t>0,05</w:t>
            </w:r>
          </w:p>
        </w:tc>
        <w:tc>
          <w:tcPr>
            <w:tcW w:w="732" w:type="dxa"/>
            <w:tcBorders>
              <w:top w:val="nil"/>
            </w:tcBorders>
          </w:tcPr>
          <w:p w:rsidR="00DB3624" w:rsidRPr="002513D7" w:rsidRDefault="00DB3624">
            <w:pPr>
              <w:pStyle w:val="ConsPlusNonformat"/>
              <w:jc w:val="both"/>
            </w:pPr>
            <w:r w:rsidRPr="002513D7">
              <w:t>0,11</w:t>
            </w:r>
          </w:p>
        </w:tc>
        <w:tc>
          <w:tcPr>
            <w:tcW w:w="732" w:type="dxa"/>
            <w:tcBorders>
              <w:top w:val="nil"/>
            </w:tcBorders>
          </w:tcPr>
          <w:p w:rsidR="00DB3624" w:rsidRPr="002513D7" w:rsidRDefault="00DB3624">
            <w:pPr>
              <w:pStyle w:val="ConsPlusNonformat"/>
              <w:jc w:val="both"/>
            </w:pPr>
            <w:r w:rsidRPr="002513D7">
              <w:t>0,15</w:t>
            </w:r>
          </w:p>
        </w:tc>
        <w:tc>
          <w:tcPr>
            <w:tcW w:w="732" w:type="dxa"/>
            <w:tcBorders>
              <w:top w:val="nil"/>
            </w:tcBorders>
          </w:tcPr>
          <w:p w:rsidR="00DB3624" w:rsidRPr="002513D7" w:rsidRDefault="00DB3624">
            <w:pPr>
              <w:pStyle w:val="ConsPlusNonformat"/>
              <w:jc w:val="both"/>
            </w:pPr>
            <w:r w:rsidRPr="002513D7">
              <w:t>0,33</w:t>
            </w:r>
          </w:p>
        </w:tc>
        <w:tc>
          <w:tcPr>
            <w:tcW w:w="854" w:type="dxa"/>
            <w:tcBorders>
              <w:top w:val="nil"/>
            </w:tcBorders>
          </w:tcPr>
          <w:p w:rsidR="00DB3624" w:rsidRPr="002513D7" w:rsidRDefault="00DB3624">
            <w:pPr>
              <w:pStyle w:val="ConsPlusNonformat"/>
              <w:jc w:val="both"/>
            </w:pPr>
            <w:r w:rsidRPr="002513D7">
              <w:t xml:space="preserve">0,52 </w:t>
            </w:r>
          </w:p>
        </w:tc>
        <w:tc>
          <w:tcPr>
            <w:tcW w:w="854" w:type="dxa"/>
            <w:tcBorders>
              <w:top w:val="nil"/>
            </w:tcBorders>
          </w:tcPr>
          <w:p w:rsidR="00DB3624" w:rsidRPr="002513D7" w:rsidRDefault="00DB3624">
            <w:pPr>
              <w:pStyle w:val="ConsPlusNonformat"/>
              <w:jc w:val="both"/>
            </w:pPr>
            <w:r w:rsidRPr="002513D7">
              <w:t xml:space="preserve">0,72 </w:t>
            </w:r>
          </w:p>
        </w:tc>
        <w:tc>
          <w:tcPr>
            <w:tcW w:w="854" w:type="dxa"/>
            <w:tcBorders>
              <w:top w:val="nil"/>
            </w:tcBorders>
          </w:tcPr>
          <w:p w:rsidR="00DB3624" w:rsidRPr="002513D7" w:rsidRDefault="00DB3624">
            <w:pPr>
              <w:pStyle w:val="ConsPlusNonformat"/>
              <w:jc w:val="both"/>
            </w:pPr>
            <w:r w:rsidRPr="002513D7">
              <w:t xml:space="preserve">1    </w:t>
            </w:r>
          </w:p>
        </w:tc>
      </w:tr>
    </w:tbl>
    <w:p w:rsidR="00DB3624" w:rsidRPr="002513D7" w:rsidRDefault="00DB3624">
      <w:pPr>
        <w:pStyle w:val="ConsPlusNormal"/>
        <w:ind w:firstLine="540"/>
        <w:jc w:val="both"/>
      </w:pPr>
    </w:p>
    <w:p w:rsidR="00DB3624" w:rsidRDefault="00DB3624" w:rsidP="0046688D">
      <w:pPr>
        <w:pStyle w:val="ConsPlusNormal"/>
        <w:ind w:firstLine="540"/>
        <w:jc w:val="both"/>
      </w:pPr>
      <w:r>
        <w:t>Организации и предприниматели, осуществляющие предпринимательскую деятельность в сфере оказания услуг общественного питания через столовые закрытого типа (без доступа посторонних посетителей), предназначенные для обслуживания работников данной организации (предпринимателя), для расчета единого налога применяют значение коэффициента К2, равное 0,05.</w:t>
      </w:r>
    </w:p>
    <w:p w:rsidR="00DB3624" w:rsidRDefault="00DB3624" w:rsidP="0046688D">
      <w:pPr>
        <w:pStyle w:val="ConsPlusNormal"/>
        <w:ind w:firstLine="540"/>
        <w:jc w:val="both"/>
      </w:pPr>
      <w:r>
        <w:t>Организации и предприниматели, не имеющие зала обслуживания посетителей, применяют значение коэффициента К2, равное 0,5.</w:t>
      </w:r>
    </w:p>
    <w:p w:rsidR="00DB3624" w:rsidRDefault="00DB3624" w:rsidP="0046688D">
      <w:pPr>
        <w:pStyle w:val="ConsPlusNormal"/>
        <w:ind w:firstLine="540"/>
        <w:jc w:val="both"/>
      </w:pPr>
      <w:r>
        <w:t>8.3.5. Для организаций и предпринимателей, осуществляющих розничную торговлю через объекты стационарной торговой сети и (или) оказание услуг общественного питания, величина дохода за налоговый период на квадратный метр определяется исходя из суммы дохода, полученной от реализации товаров (услуг), приходящейся на квадратный метр площади, учитываемой при исчислении единого налога на вмененный доход.</w:t>
      </w:r>
    </w:p>
    <w:p w:rsidR="00DB3624" w:rsidRDefault="00DB3624" w:rsidP="0046688D">
      <w:pPr>
        <w:pStyle w:val="ConsPlusNormal"/>
        <w:ind w:firstLine="540"/>
        <w:jc w:val="both"/>
      </w:pPr>
      <w:r>
        <w:t>8.3.6. Значение корректирующего коэффициента К2 в отношении вида предпринимательской деятельности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 применяется в размере 1.</w:t>
      </w:r>
    </w:p>
    <w:p w:rsidR="00DB3624" w:rsidRDefault="00DB3624" w:rsidP="0046688D">
      <w:pPr>
        <w:pStyle w:val="ConsPlusNormal"/>
        <w:ind w:firstLine="540"/>
        <w:jc w:val="both"/>
      </w:pPr>
      <w:r>
        <w:t>8.3.7. Организации и предприниматели, осуществляющие предпринимательскую деятельность в сфере оказания услуг по ремонту, техническому обслуживанию и мойке автотранспортных средств, для расчета единого налога применяют значение коэффициента К2, равное 1.</w:t>
      </w:r>
    </w:p>
    <w:p w:rsidR="00DB3624" w:rsidRPr="00014FA2" w:rsidRDefault="00DB3624" w:rsidP="0046688D">
      <w:pPr>
        <w:pStyle w:val="ConsPlusNormal"/>
        <w:ind w:firstLine="540"/>
        <w:jc w:val="both"/>
      </w:pPr>
      <w:r>
        <w:t>8.3.8. Значение корректирующего коэффициента К2 в отношении вида предпринимательской деятельности "Оказание услуг по хранению автотранспортных средств на платных стоянках"</w:t>
      </w:r>
    </w:p>
    <w:p w:rsidR="00DB3624" w:rsidRPr="00014FA2" w:rsidRDefault="00DB3624" w:rsidP="0046688D">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392"/>
        <w:gridCol w:w="2074"/>
      </w:tblGrid>
      <w:tr w:rsidR="00DB3624" w:rsidRPr="00D2359A">
        <w:trPr>
          <w:trHeight w:val="227"/>
        </w:trPr>
        <w:tc>
          <w:tcPr>
            <w:tcW w:w="4392" w:type="dxa"/>
          </w:tcPr>
          <w:p w:rsidR="00DB3624" w:rsidRPr="002513D7" w:rsidRDefault="00DB3624">
            <w:pPr>
              <w:pStyle w:val="ConsPlusNonformat"/>
              <w:jc w:val="both"/>
            </w:pPr>
            <w:r w:rsidRPr="002513D7">
              <w:t xml:space="preserve">       Тип стоянок автомобилей    </w:t>
            </w:r>
          </w:p>
        </w:tc>
        <w:tc>
          <w:tcPr>
            <w:tcW w:w="2074" w:type="dxa"/>
          </w:tcPr>
          <w:p w:rsidR="00DB3624" w:rsidRPr="002513D7" w:rsidRDefault="00DB3624">
            <w:pPr>
              <w:pStyle w:val="ConsPlusNonformat"/>
              <w:jc w:val="both"/>
            </w:pPr>
            <w:r w:rsidRPr="002513D7">
              <w:t xml:space="preserve">   Значения    </w:t>
            </w:r>
          </w:p>
          <w:p w:rsidR="00DB3624" w:rsidRPr="002513D7" w:rsidRDefault="00DB3624">
            <w:pPr>
              <w:pStyle w:val="ConsPlusNonformat"/>
              <w:jc w:val="both"/>
            </w:pPr>
            <w:r w:rsidRPr="002513D7">
              <w:t>корректирующего</w:t>
            </w:r>
          </w:p>
          <w:p w:rsidR="00DB3624" w:rsidRPr="002513D7" w:rsidRDefault="00DB3624">
            <w:pPr>
              <w:pStyle w:val="ConsPlusNonformat"/>
              <w:jc w:val="both"/>
            </w:pPr>
            <w:r w:rsidRPr="002513D7">
              <w:t xml:space="preserve">  коэффициента </w:t>
            </w:r>
          </w:p>
        </w:tc>
      </w:tr>
      <w:tr w:rsidR="00DB3624" w:rsidRPr="00D2359A">
        <w:trPr>
          <w:trHeight w:val="227"/>
        </w:trPr>
        <w:tc>
          <w:tcPr>
            <w:tcW w:w="4392" w:type="dxa"/>
            <w:tcBorders>
              <w:top w:val="nil"/>
            </w:tcBorders>
          </w:tcPr>
          <w:p w:rsidR="00DB3624" w:rsidRPr="002513D7" w:rsidRDefault="00DB3624">
            <w:pPr>
              <w:pStyle w:val="ConsPlusNonformat"/>
              <w:jc w:val="both"/>
            </w:pPr>
            <w:r w:rsidRPr="002513D7">
              <w:t>1. Стоянки открытого типа площадью</w:t>
            </w:r>
          </w:p>
          <w:p w:rsidR="00DB3624" w:rsidRPr="002513D7" w:rsidRDefault="00DB3624">
            <w:pPr>
              <w:pStyle w:val="ConsPlusNonformat"/>
              <w:jc w:val="both"/>
            </w:pPr>
            <w:r w:rsidRPr="002513D7">
              <w:t xml:space="preserve">до 600 кв. м включительно         </w:t>
            </w:r>
          </w:p>
        </w:tc>
        <w:tc>
          <w:tcPr>
            <w:tcW w:w="2074" w:type="dxa"/>
            <w:tcBorders>
              <w:top w:val="nil"/>
            </w:tcBorders>
          </w:tcPr>
          <w:p w:rsidR="00DB3624" w:rsidRPr="002513D7" w:rsidRDefault="00DB3624">
            <w:pPr>
              <w:pStyle w:val="ConsPlusNonformat"/>
              <w:jc w:val="both"/>
            </w:pPr>
            <w:r w:rsidRPr="002513D7">
              <w:t xml:space="preserve">      0,5      </w:t>
            </w:r>
          </w:p>
        </w:tc>
      </w:tr>
      <w:tr w:rsidR="00DB3624" w:rsidRPr="00D2359A">
        <w:trPr>
          <w:trHeight w:val="227"/>
        </w:trPr>
        <w:tc>
          <w:tcPr>
            <w:tcW w:w="4392" w:type="dxa"/>
            <w:tcBorders>
              <w:top w:val="nil"/>
            </w:tcBorders>
          </w:tcPr>
          <w:p w:rsidR="00DB3624" w:rsidRPr="002513D7" w:rsidRDefault="00DB3624">
            <w:pPr>
              <w:pStyle w:val="ConsPlusNonformat"/>
              <w:jc w:val="both"/>
            </w:pPr>
            <w:r w:rsidRPr="002513D7">
              <w:t>2. Стоянки открытого типа площадью</w:t>
            </w:r>
          </w:p>
          <w:p w:rsidR="00DB3624" w:rsidRPr="002513D7" w:rsidRDefault="00DB3624">
            <w:pPr>
              <w:pStyle w:val="ConsPlusNonformat"/>
              <w:jc w:val="both"/>
            </w:pPr>
            <w:r w:rsidRPr="002513D7">
              <w:t xml:space="preserve">свыше 600 кв. м                   </w:t>
            </w:r>
          </w:p>
        </w:tc>
        <w:tc>
          <w:tcPr>
            <w:tcW w:w="2074" w:type="dxa"/>
            <w:tcBorders>
              <w:top w:val="nil"/>
            </w:tcBorders>
          </w:tcPr>
          <w:p w:rsidR="00DB3624" w:rsidRPr="002513D7" w:rsidRDefault="00DB3624">
            <w:pPr>
              <w:pStyle w:val="ConsPlusNonformat"/>
              <w:jc w:val="both"/>
            </w:pPr>
            <w:r w:rsidRPr="002513D7">
              <w:t xml:space="preserve">      0,4      </w:t>
            </w:r>
          </w:p>
        </w:tc>
      </w:tr>
      <w:tr w:rsidR="00DB3624" w:rsidRPr="00D2359A">
        <w:trPr>
          <w:trHeight w:val="227"/>
        </w:trPr>
        <w:tc>
          <w:tcPr>
            <w:tcW w:w="4392" w:type="dxa"/>
            <w:tcBorders>
              <w:top w:val="nil"/>
            </w:tcBorders>
          </w:tcPr>
          <w:p w:rsidR="00DB3624" w:rsidRPr="002513D7" w:rsidRDefault="00DB3624">
            <w:pPr>
              <w:pStyle w:val="ConsPlusNonformat"/>
              <w:jc w:val="both"/>
            </w:pPr>
            <w:r w:rsidRPr="002513D7">
              <w:t xml:space="preserve">3. Стоянки закрытого типа         </w:t>
            </w:r>
          </w:p>
        </w:tc>
        <w:tc>
          <w:tcPr>
            <w:tcW w:w="2074" w:type="dxa"/>
            <w:tcBorders>
              <w:top w:val="nil"/>
            </w:tcBorders>
          </w:tcPr>
          <w:p w:rsidR="00DB3624" w:rsidRPr="002513D7" w:rsidRDefault="00DB3624">
            <w:pPr>
              <w:pStyle w:val="ConsPlusNonformat"/>
              <w:jc w:val="both"/>
            </w:pPr>
            <w:r w:rsidRPr="002513D7">
              <w:t xml:space="preserve">      0,1      </w:t>
            </w:r>
          </w:p>
        </w:tc>
      </w:tr>
    </w:tbl>
    <w:p w:rsidR="00DB3624" w:rsidRPr="002513D7" w:rsidRDefault="00DB3624">
      <w:pPr>
        <w:pStyle w:val="ConsPlusNormal"/>
        <w:ind w:firstLine="540"/>
        <w:jc w:val="both"/>
      </w:pPr>
    </w:p>
    <w:p w:rsidR="00DB3624" w:rsidRPr="002513D7" w:rsidRDefault="00DB3624">
      <w:pPr>
        <w:pStyle w:val="ConsPlusNormal"/>
        <w:ind w:firstLine="540"/>
        <w:jc w:val="both"/>
      </w:pPr>
      <w:r w:rsidRPr="002513D7">
        <w:t>8.3.9. Значение корректирующего коэффициента К2 в отношении вида предпринимательской деятельности "Оказание бытовых услуг"</w:t>
      </w:r>
    </w:p>
    <w:p w:rsidR="00DB3624" w:rsidRPr="002513D7" w:rsidRDefault="00DB3624">
      <w:pPr>
        <w:pStyle w:val="ConsPlusNormal"/>
        <w:ind w:firstLine="540"/>
        <w:jc w:val="both"/>
      </w:pPr>
    </w:p>
    <w:p w:rsidR="00DB3624" w:rsidRPr="002513D7" w:rsidRDefault="00DB3624">
      <w:pPr>
        <w:pStyle w:val="ConsPlusCell"/>
        <w:jc w:val="both"/>
      </w:pPr>
      <w:r w:rsidRPr="002513D7">
        <w:rPr>
          <w:sz w:val="18"/>
        </w:rPr>
        <w:t>┌─────────────────────────────────────────────────────────────┬───────────────┐</w:t>
      </w:r>
    </w:p>
    <w:p w:rsidR="00DB3624" w:rsidRPr="002513D7" w:rsidRDefault="00DB3624">
      <w:pPr>
        <w:pStyle w:val="ConsPlusCell"/>
        <w:jc w:val="both"/>
      </w:pPr>
      <w:r w:rsidRPr="002513D7">
        <w:rPr>
          <w:sz w:val="18"/>
        </w:rPr>
        <w:t>│                      Наименование услуг                     │   Значения    │</w:t>
      </w:r>
    </w:p>
    <w:p w:rsidR="00DB3624" w:rsidRPr="002513D7" w:rsidRDefault="00DB3624">
      <w:pPr>
        <w:pStyle w:val="ConsPlusCell"/>
        <w:jc w:val="both"/>
      </w:pPr>
      <w:r w:rsidRPr="002513D7">
        <w:rPr>
          <w:sz w:val="18"/>
        </w:rPr>
        <w:t>│                                                             │корректирующего│</w:t>
      </w:r>
    </w:p>
    <w:p w:rsidR="00DB3624" w:rsidRPr="002513D7" w:rsidRDefault="00DB3624">
      <w:pPr>
        <w:pStyle w:val="ConsPlusCell"/>
        <w:jc w:val="both"/>
      </w:pPr>
      <w:r w:rsidRPr="002513D7">
        <w:rPr>
          <w:sz w:val="18"/>
        </w:rPr>
        <w:t>│                                                             │ коэффициента  │</w:t>
      </w:r>
    </w:p>
    <w:p w:rsidR="00DB3624" w:rsidRPr="002513D7" w:rsidRDefault="00DB3624">
      <w:pPr>
        <w:pStyle w:val="ConsPlusCell"/>
        <w:jc w:val="both"/>
      </w:pPr>
      <w:r w:rsidRPr="002513D7">
        <w:rPr>
          <w:sz w:val="18"/>
        </w:rPr>
        <w:t>├─────────────────────────────────────────────────────────────┼───────────────┤</w:t>
      </w:r>
    </w:p>
    <w:p w:rsidR="00DB3624" w:rsidRPr="002513D7" w:rsidRDefault="00DB3624">
      <w:pPr>
        <w:pStyle w:val="ConsPlusCell"/>
        <w:jc w:val="both"/>
      </w:pPr>
      <w:r w:rsidRPr="002513D7">
        <w:rPr>
          <w:sz w:val="18"/>
        </w:rPr>
        <w:t>│Ремонт, окраска и пошив обуви                                │      0,5      │</w:t>
      </w:r>
    </w:p>
    <w:p w:rsidR="00DB3624" w:rsidRPr="002513D7" w:rsidRDefault="00DB3624">
      <w:pPr>
        <w:pStyle w:val="ConsPlusCell"/>
        <w:jc w:val="both"/>
      </w:pPr>
      <w:r w:rsidRPr="002513D7">
        <w:rPr>
          <w:sz w:val="18"/>
        </w:rPr>
        <w:t>├─────────────────────────────────────────────────────────────┼───────────────┤</w:t>
      </w:r>
    </w:p>
    <w:p w:rsidR="00DB3624" w:rsidRPr="002513D7" w:rsidRDefault="00DB3624">
      <w:pPr>
        <w:pStyle w:val="ConsPlusCell"/>
        <w:jc w:val="both"/>
      </w:pPr>
      <w:r w:rsidRPr="002513D7">
        <w:rPr>
          <w:sz w:val="18"/>
        </w:rPr>
        <w:t>│Ремонт и  пошив  швейных, меховых и кожаных изделий, головных│      0,3      │</w:t>
      </w:r>
    </w:p>
    <w:p w:rsidR="00DB3624" w:rsidRPr="002513D7" w:rsidRDefault="00DB3624">
      <w:pPr>
        <w:pStyle w:val="ConsPlusCell"/>
        <w:jc w:val="both"/>
      </w:pPr>
      <w:r w:rsidRPr="002513D7">
        <w:rPr>
          <w:sz w:val="18"/>
        </w:rPr>
        <w:t>│уборов и изделий текстильной галантереи, ремонт, пошив и     │               │</w:t>
      </w:r>
    </w:p>
    <w:p w:rsidR="00DB3624" w:rsidRPr="002513D7" w:rsidRDefault="00DB3624">
      <w:pPr>
        <w:pStyle w:val="ConsPlusCell"/>
        <w:jc w:val="both"/>
      </w:pPr>
      <w:r w:rsidRPr="002513D7">
        <w:rPr>
          <w:sz w:val="18"/>
        </w:rPr>
        <w:t>│вязание трикотажных изделий                                  │               │</w:t>
      </w:r>
    </w:p>
    <w:p w:rsidR="00DB3624" w:rsidRPr="002513D7" w:rsidRDefault="00DB3624">
      <w:pPr>
        <w:pStyle w:val="ConsPlusCell"/>
        <w:jc w:val="both"/>
      </w:pPr>
      <w:r w:rsidRPr="002513D7">
        <w:rPr>
          <w:sz w:val="18"/>
        </w:rPr>
        <w:t>│(</w:t>
      </w:r>
      <w:r w:rsidRPr="008E7B76">
        <w:t xml:space="preserve"> </w:t>
      </w:r>
      <w:r w:rsidRPr="008E7B76">
        <w:rPr>
          <w:sz w:val="18"/>
        </w:rPr>
        <w:t xml:space="preserve">в ред. решения Кунгурской городской Думы от 22.06.2006 N 336)             </w:t>
      </w:r>
      <w:r w:rsidRPr="002513D7">
        <w:rPr>
          <w:sz w:val="18"/>
        </w:rPr>
        <w:t xml:space="preserve"> │</w:t>
      </w:r>
    </w:p>
    <w:p w:rsidR="00DB3624" w:rsidRPr="002513D7" w:rsidRDefault="00DB3624">
      <w:pPr>
        <w:pStyle w:val="ConsPlusCell"/>
        <w:jc w:val="both"/>
      </w:pPr>
      <w:r w:rsidRPr="002513D7">
        <w:rPr>
          <w:sz w:val="18"/>
        </w:rPr>
        <w:t>├─────────────────────────────────────────────────────────────┼───────────────┤</w:t>
      </w:r>
    </w:p>
    <w:p w:rsidR="00DB3624" w:rsidRPr="002513D7" w:rsidRDefault="00DB3624">
      <w:pPr>
        <w:pStyle w:val="ConsPlusCell"/>
        <w:jc w:val="both"/>
      </w:pPr>
      <w:r w:rsidRPr="002513D7">
        <w:rPr>
          <w:sz w:val="18"/>
        </w:rPr>
        <w:t>│Ремонт и техническое обслуживание бытовой радиоэлектронной   │      0,6      │</w:t>
      </w:r>
    </w:p>
    <w:p w:rsidR="00DB3624" w:rsidRPr="002513D7" w:rsidRDefault="00DB3624">
      <w:pPr>
        <w:pStyle w:val="ConsPlusCell"/>
        <w:jc w:val="both"/>
      </w:pPr>
      <w:r w:rsidRPr="002513D7">
        <w:rPr>
          <w:sz w:val="18"/>
        </w:rPr>
        <w:t>│аппаратуры, бытовых машин и бытовых приборов, ремонт и       │               │</w:t>
      </w:r>
    </w:p>
    <w:p w:rsidR="00DB3624" w:rsidRPr="002513D7" w:rsidRDefault="00DB3624">
      <w:pPr>
        <w:pStyle w:val="ConsPlusCell"/>
        <w:jc w:val="both"/>
      </w:pPr>
      <w:r w:rsidRPr="002513D7">
        <w:rPr>
          <w:sz w:val="18"/>
        </w:rPr>
        <w:t>│изготовление металлоизделий                                  │               │</w:t>
      </w:r>
    </w:p>
    <w:p w:rsidR="00DB3624" w:rsidRPr="002513D7" w:rsidRDefault="00DB3624">
      <w:pPr>
        <w:pStyle w:val="ConsPlusCell"/>
        <w:jc w:val="both"/>
      </w:pPr>
      <w:r w:rsidRPr="002513D7">
        <w:rPr>
          <w:sz w:val="18"/>
        </w:rPr>
        <w:t>├─────────────────────────────────────────────────────────────┼───────────────┤</w:t>
      </w:r>
    </w:p>
    <w:p w:rsidR="00DB3624" w:rsidRPr="002513D7" w:rsidRDefault="00DB3624">
      <w:pPr>
        <w:pStyle w:val="ConsPlusCell"/>
        <w:jc w:val="both"/>
      </w:pPr>
      <w:r w:rsidRPr="002513D7">
        <w:rPr>
          <w:sz w:val="18"/>
        </w:rPr>
        <w:t>│Изготовление и ремонт мебели                                 │      0,7      │</w:t>
      </w:r>
    </w:p>
    <w:p w:rsidR="00DB3624" w:rsidRPr="002513D7" w:rsidRDefault="00DB3624">
      <w:pPr>
        <w:pStyle w:val="ConsPlusCell"/>
        <w:jc w:val="both"/>
      </w:pPr>
      <w:r w:rsidRPr="002513D7">
        <w:rPr>
          <w:sz w:val="18"/>
        </w:rPr>
        <w:t>├─────────────────────────────────────────────────────────────┼───────────────┤</w:t>
      </w:r>
    </w:p>
    <w:p w:rsidR="00DB3624" w:rsidRPr="002513D7" w:rsidRDefault="00DB3624">
      <w:pPr>
        <w:pStyle w:val="ConsPlusCell"/>
        <w:jc w:val="both"/>
      </w:pPr>
      <w:r w:rsidRPr="002513D7">
        <w:rPr>
          <w:sz w:val="18"/>
        </w:rPr>
        <w:t>│Химическая чистка и крашение, услуги прачечных               │      0,5      │</w:t>
      </w:r>
    </w:p>
    <w:p w:rsidR="00DB3624" w:rsidRPr="002513D7" w:rsidRDefault="00DB3624">
      <w:pPr>
        <w:pStyle w:val="ConsPlusCell"/>
        <w:jc w:val="both"/>
      </w:pPr>
      <w:r w:rsidRPr="002513D7">
        <w:rPr>
          <w:sz w:val="18"/>
        </w:rPr>
        <w:t>├─────────────────────────────────────────────────────────────┼───────────────┤</w:t>
      </w:r>
    </w:p>
    <w:p w:rsidR="00DB3624" w:rsidRPr="002513D7" w:rsidRDefault="00DB3624">
      <w:pPr>
        <w:pStyle w:val="ConsPlusCell"/>
        <w:jc w:val="both"/>
      </w:pPr>
      <w:r w:rsidRPr="002513D7">
        <w:rPr>
          <w:sz w:val="18"/>
        </w:rPr>
        <w:t>│Ремонт жилья и других построек в соответствии с              │      1        │</w:t>
      </w:r>
    </w:p>
    <w:p w:rsidR="00DB3624" w:rsidRPr="002513D7" w:rsidRDefault="00DB3624">
      <w:pPr>
        <w:pStyle w:val="ConsPlusCell"/>
        <w:jc w:val="both"/>
      </w:pPr>
      <w:r w:rsidRPr="002513D7">
        <w:rPr>
          <w:sz w:val="18"/>
        </w:rPr>
        <w:t>│</w:t>
      </w:r>
      <w:r w:rsidRPr="0088567F">
        <w:rPr>
          <w:sz w:val="18"/>
        </w:rPr>
        <w:t>"Общероссийским классификатором услуг населению" ОК 002-93</w:t>
      </w:r>
      <w:r w:rsidRPr="002513D7">
        <w:rPr>
          <w:sz w:val="18"/>
        </w:rPr>
        <w:t xml:space="preserve">   │               │</w:t>
      </w:r>
    </w:p>
    <w:p w:rsidR="00DB3624" w:rsidRPr="002513D7" w:rsidRDefault="00DB3624">
      <w:pPr>
        <w:pStyle w:val="ConsPlusCell"/>
        <w:jc w:val="both"/>
      </w:pPr>
      <w:r w:rsidRPr="002513D7">
        <w:rPr>
          <w:sz w:val="18"/>
        </w:rPr>
        <w:t>├─────────────────────────────────────────────────────────────┼───────────────┤</w:t>
      </w:r>
    </w:p>
    <w:p w:rsidR="00DB3624" w:rsidRPr="002513D7" w:rsidRDefault="00DB3624">
      <w:pPr>
        <w:pStyle w:val="ConsPlusCell"/>
        <w:jc w:val="both"/>
      </w:pPr>
      <w:r w:rsidRPr="002513D7">
        <w:rPr>
          <w:sz w:val="18"/>
        </w:rPr>
        <w:t>│Строительство жилья и других построек в соответствии с       │      0,8      │</w:t>
      </w:r>
    </w:p>
    <w:p w:rsidR="00DB3624" w:rsidRPr="002513D7" w:rsidRDefault="00DB3624">
      <w:pPr>
        <w:pStyle w:val="ConsPlusCell"/>
        <w:jc w:val="both"/>
      </w:pPr>
      <w:r w:rsidRPr="002513D7">
        <w:rPr>
          <w:sz w:val="18"/>
        </w:rPr>
        <w:t>│"</w:t>
      </w:r>
      <w:r w:rsidRPr="0088567F">
        <w:rPr>
          <w:sz w:val="18"/>
        </w:rPr>
        <w:t>Общероссийским классификатором услуг населению" ОК 002-93</w:t>
      </w:r>
      <w:r w:rsidRPr="002513D7">
        <w:rPr>
          <w:sz w:val="18"/>
        </w:rPr>
        <w:t xml:space="preserve">   │               │</w:t>
      </w:r>
    </w:p>
    <w:p w:rsidR="00DB3624" w:rsidRPr="002513D7" w:rsidRDefault="00DB3624">
      <w:pPr>
        <w:pStyle w:val="ConsPlusCell"/>
        <w:jc w:val="both"/>
      </w:pPr>
      <w:r w:rsidRPr="002513D7">
        <w:rPr>
          <w:sz w:val="18"/>
        </w:rPr>
        <w:t>├─────────────────────────────────────────────────────────────┼───────────────┤</w:t>
      </w:r>
    </w:p>
    <w:p w:rsidR="00DB3624" w:rsidRPr="002513D7" w:rsidRDefault="00DB3624">
      <w:pPr>
        <w:pStyle w:val="ConsPlusCell"/>
        <w:jc w:val="both"/>
      </w:pPr>
      <w:r w:rsidRPr="002513D7">
        <w:rPr>
          <w:sz w:val="18"/>
        </w:rPr>
        <w:t>│Прочие услуги, оказываемые при ремонте и строительстве жилья │      0,3      │</w:t>
      </w:r>
    </w:p>
    <w:p w:rsidR="00DB3624" w:rsidRPr="002513D7" w:rsidRDefault="00DB3624">
      <w:pPr>
        <w:pStyle w:val="ConsPlusCell"/>
        <w:jc w:val="both"/>
      </w:pPr>
      <w:r w:rsidRPr="002513D7">
        <w:rPr>
          <w:sz w:val="18"/>
        </w:rPr>
        <w:t>│и других построек в соответствии с "Общероссийским           │               │</w:t>
      </w:r>
    </w:p>
    <w:p w:rsidR="00DB3624" w:rsidRPr="002513D7" w:rsidRDefault="00DB3624">
      <w:pPr>
        <w:pStyle w:val="ConsPlusCell"/>
        <w:jc w:val="both"/>
      </w:pPr>
      <w:r w:rsidRPr="002513D7">
        <w:rPr>
          <w:sz w:val="18"/>
        </w:rPr>
        <w:t>│</w:t>
      </w:r>
      <w:r w:rsidRPr="0088567F">
        <w:rPr>
          <w:sz w:val="18"/>
        </w:rPr>
        <w:t xml:space="preserve">классификатором услуг населению" ОК 002-93 </w:t>
      </w:r>
      <w:r w:rsidRPr="002513D7">
        <w:rPr>
          <w:sz w:val="18"/>
        </w:rPr>
        <w:t>(за исключением   │               │</w:t>
      </w:r>
    </w:p>
    <w:p w:rsidR="00DB3624" w:rsidRPr="002513D7" w:rsidRDefault="00DB3624">
      <w:pPr>
        <w:pStyle w:val="ConsPlusCell"/>
        <w:jc w:val="both"/>
      </w:pPr>
      <w:r w:rsidRPr="002513D7">
        <w:rPr>
          <w:sz w:val="18"/>
        </w:rPr>
        <w:t>│следующих услуг: альфрейные работы (декоративная отделка     │               │</w:t>
      </w:r>
    </w:p>
    <w:p w:rsidR="00DB3624" w:rsidRPr="002513D7" w:rsidRDefault="00DB3624">
      <w:pPr>
        <w:pStyle w:val="ConsPlusCell"/>
        <w:jc w:val="both"/>
      </w:pPr>
      <w:r w:rsidRPr="002513D7">
        <w:rPr>
          <w:sz w:val="18"/>
        </w:rPr>
        <w:t>│поверхностей); изготовление и монтаж лепных элементов;       │               │</w:t>
      </w:r>
    </w:p>
    <w:p w:rsidR="00DB3624" w:rsidRPr="002513D7" w:rsidRDefault="00DB3624">
      <w:pPr>
        <w:pStyle w:val="ConsPlusCell"/>
        <w:jc w:val="both"/>
      </w:pPr>
      <w:r w:rsidRPr="002513D7">
        <w:rPr>
          <w:sz w:val="18"/>
        </w:rPr>
        <w:t>│разработка эскизов и оформление интерьера жилых помещений;   │               │</w:t>
      </w:r>
    </w:p>
    <w:p w:rsidR="00DB3624" w:rsidRPr="002513D7" w:rsidRDefault="00DB3624">
      <w:pPr>
        <w:pStyle w:val="ConsPlusCell"/>
        <w:jc w:val="both"/>
      </w:pPr>
      <w:r w:rsidRPr="002513D7">
        <w:rPr>
          <w:sz w:val="18"/>
        </w:rPr>
        <w:t>│разработка проектно-сметной документации на строительство и  │               │</w:t>
      </w:r>
    </w:p>
    <w:p w:rsidR="00DB3624" w:rsidRPr="002513D7" w:rsidRDefault="00DB3624">
      <w:pPr>
        <w:pStyle w:val="ConsPlusCell"/>
        <w:jc w:val="both"/>
      </w:pPr>
      <w:r w:rsidRPr="002513D7">
        <w:rPr>
          <w:sz w:val="18"/>
        </w:rPr>
        <w:t>│реконструкцию жилых и нежилых строений)                      │               │</w:t>
      </w:r>
    </w:p>
    <w:p w:rsidR="00DB3624" w:rsidRPr="002513D7" w:rsidRDefault="00DB3624">
      <w:pPr>
        <w:pStyle w:val="ConsPlusCell"/>
        <w:jc w:val="both"/>
      </w:pPr>
      <w:r w:rsidRPr="002513D7">
        <w:rPr>
          <w:sz w:val="18"/>
        </w:rPr>
        <w:t>├─────────────────────────────────────────────────────────────┼───────────────┤</w:t>
      </w:r>
    </w:p>
    <w:p w:rsidR="00DB3624" w:rsidRPr="002513D7" w:rsidRDefault="00DB3624">
      <w:pPr>
        <w:pStyle w:val="ConsPlusCell"/>
        <w:jc w:val="both"/>
      </w:pPr>
      <w:r w:rsidRPr="002513D7">
        <w:rPr>
          <w:sz w:val="18"/>
        </w:rPr>
        <w:t>│Альфрейные работы (декоративная отделка поверхностей);       │      0,8      │</w:t>
      </w:r>
    </w:p>
    <w:p w:rsidR="00DB3624" w:rsidRPr="002513D7" w:rsidRDefault="00DB3624">
      <w:pPr>
        <w:pStyle w:val="ConsPlusCell"/>
        <w:jc w:val="both"/>
      </w:pPr>
      <w:r w:rsidRPr="002513D7">
        <w:rPr>
          <w:sz w:val="18"/>
        </w:rPr>
        <w:t>│изготовление и монтаж лепных элементов; разработка эскизов и │               │</w:t>
      </w:r>
    </w:p>
    <w:p w:rsidR="00DB3624" w:rsidRPr="002513D7" w:rsidRDefault="00DB3624">
      <w:pPr>
        <w:pStyle w:val="ConsPlusCell"/>
        <w:jc w:val="both"/>
      </w:pPr>
      <w:r w:rsidRPr="002513D7">
        <w:rPr>
          <w:sz w:val="18"/>
        </w:rPr>
        <w:t>│оформление интерьера жилых помещений; разработка проектно-   │               │</w:t>
      </w:r>
    </w:p>
    <w:p w:rsidR="00DB3624" w:rsidRPr="002513D7" w:rsidRDefault="00DB3624">
      <w:pPr>
        <w:pStyle w:val="ConsPlusCell"/>
        <w:jc w:val="both"/>
      </w:pPr>
      <w:r w:rsidRPr="002513D7">
        <w:rPr>
          <w:sz w:val="18"/>
        </w:rPr>
        <w:t>│сметной документации на строительство и реконструкцию жилых и│               │</w:t>
      </w:r>
    </w:p>
    <w:p w:rsidR="00DB3624" w:rsidRPr="002513D7" w:rsidRDefault="00DB3624">
      <w:pPr>
        <w:pStyle w:val="ConsPlusCell"/>
        <w:jc w:val="both"/>
      </w:pPr>
      <w:r w:rsidRPr="002513D7">
        <w:rPr>
          <w:sz w:val="18"/>
        </w:rPr>
        <w:t>│нежилых строений)                                            │               │</w:t>
      </w:r>
    </w:p>
    <w:p w:rsidR="00DB3624" w:rsidRPr="002513D7" w:rsidRDefault="00DB3624">
      <w:pPr>
        <w:pStyle w:val="ConsPlusCell"/>
        <w:jc w:val="both"/>
      </w:pPr>
      <w:r w:rsidRPr="002513D7">
        <w:rPr>
          <w:sz w:val="18"/>
        </w:rPr>
        <w:t>├─────────────────────────────────────────────────────────────┼───────────────┤</w:t>
      </w:r>
    </w:p>
    <w:p w:rsidR="00DB3624" w:rsidRPr="002513D7" w:rsidRDefault="00DB3624">
      <w:pPr>
        <w:pStyle w:val="ConsPlusCell"/>
        <w:jc w:val="both"/>
      </w:pPr>
      <w:r w:rsidRPr="002513D7">
        <w:rPr>
          <w:sz w:val="18"/>
        </w:rPr>
        <w:t>│Услуги фотоателье и фото- и кинолабораторий                  │      0,8      │</w:t>
      </w:r>
    </w:p>
    <w:p w:rsidR="00DB3624" w:rsidRPr="002513D7" w:rsidRDefault="00DB3624">
      <w:pPr>
        <w:pStyle w:val="ConsPlusCell"/>
        <w:jc w:val="both"/>
      </w:pPr>
      <w:r w:rsidRPr="002513D7">
        <w:rPr>
          <w:sz w:val="18"/>
        </w:rPr>
        <w:t>├─────────────────────────────────────────────────────────────┼───────────────┤</w:t>
      </w:r>
    </w:p>
    <w:p w:rsidR="00DB3624" w:rsidRPr="002513D7" w:rsidRDefault="00DB3624">
      <w:pPr>
        <w:pStyle w:val="ConsPlusCell"/>
        <w:jc w:val="both"/>
      </w:pPr>
      <w:r w:rsidRPr="002513D7">
        <w:rPr>
          <w:sz w:val="18"/>
        </w:rPr>
        <w:t>│Услуги бань и душевых                                        │      0,1      │</w:t>
      </w:r>
    </w:p>
    <w:p w:rsidR="00DB3624" w:rsidRPr="002513D7" w:rsidRDefault="00DB3624">
      <w:pPr>
        <w:pStyle w:val="ConsPlusCell"/>
        <w:jc w:val="both"/>
      </w:pPr>
      <w:r w:rsidRPr="002513D7">
        <w:rPr>
          <w:sz w:val="18"/>
        </w:rPr>
        <w:t>├─────────────────────────────────────────────────────────────┼───────────────┤</w:t>
      </w:r>
    </w:p>
    <w:p w:rsidR="00DB3624" w:rsidRPr="002513D7" w:rsidRDefault="00DB3624">
      <w:pPr>
        <w:pStyle w:val="ConsPlusCell"/>
        <w:jc w:val="both"/>
      </w:pPr>
      <w:r w:rsidRPr="002513D7">
        <w:rPr>
          <w:sz w:val="18"/>
        </w:rPr>
        <w:t>│Услуги парикмахерских                                        │      0,6      │</w:t>
      </w:r>
    </w:p>
    <w:p w:rsidR="00DB3624" w:rsidRPr="002513D7" w:rsidRDefault="00DB3624">
      <w:pPr>
        <w:pStyle w:val="ConsPlusCell"/>
        <w:jc w:val="both"/>
      </w:pPr>
      <w:r w:rsidRPr="002513D7">
        <w:rPr>
          <w:sz w:val="18"/>
        </w:rPr>
        <w:t>├─────────────────────────────────────────────────────────────┼───────────────┤</w:t>
      </w:r>
    </w:p>
    <w:p w:rsidR="00DB3624" w:rsidRPr="002513D7" w:rsidRDefault="00DB3624">
      <w:pPr>
        <w:pStyle w:val="ConsPlusCell"/>
        <w:jc w:val="both"/>
      </w:pPr>
      <w:r w:rsidRPr="002513D7">
        <w:rPr>
          <w:sz w:val="18"/>
        </w:rPr>
        <w:t>│Абзац исключен. -</w:t>
      </w:r>
      <w:r w:rsidRPr="008E7B76">
        <w:rPr>
          <w:sz w:val="18"/>
        </w:rPr>
        <w:t>Решение Кунгурской городской  Думы  от  16.02.2006  N  284</w:t>
      </w:r>
      <w:r w:rsidRPr="0088567F">
        <w:rPr>
          <w:sz w:val="18"/>
        </w:rPr>
        <w:t xml:space="preserve"> </w:t>
      </w:r>
      <w:r w:rsidRPr="002513D7">
        <w:rPr>
          <w:sz w:val="18"/>
        </w:rPr>
        <w:t>.│</w:t>
      </w:r>
    </w:p>
    <w:p w:rsidR="00DB3624" w:rsidRPr="002513D7" w:rsidRDefault="00DB3624">
      <w:pPr>
        <w:pStyle w:val="ConsPlusCell"/>
        <w:jc w:val="both"/>
      </w:pPr>
      <w:r w:rsidRPr="002513D7">
        <w:rPr>
          <w:sz w:val="18"/>
        </w:rPr>
        <w:t>├─────────────────────────────────────────────────────────────┼───────────────┤</w:t>
      </w:r>
    </w:p>
    <w:p w:rsidR="00DB3624" w:rsidRPr="002513D7" w:rsidRDefault="00DB3624">
      <w:pPr>
        <w:pStyle w:val="ConsPlusCell"/>
        <w:jc w:val="both"/>
      </w:pPr>
      <w:r w:rsidRPr="002513D7">
        <w:rPr>
          <w:sz w:val="18"/>
        </w:rPr>
        <w:t>│Услуги предприятий по прокату                                │      0,5      │</w:t>
      </w:r>
    </w:p>
    <w:p w:rsidR="00DB3624" w:rsidRPr="002513D7" w:rsidRDefault="00DB3624">
      <w:pPr>
        <w:pStyle w:val="ConsPlusCell"/>
        <w:jc w:val="both"/>
      </w:pPr>
      <w:r w:rsidRPr="002513D7">
        <w:rPr>
          <w:sz w:val="18"/>
        </w:rPr>
        <w:t>├─────────────────────────────────────────────────────────────┼───────────────┤</w:t>
      </w:r>
    </w:p>
    <w:p w:rsidR="00DB3624" w:rsidRPr="002513D7" w:rsidRDefault="00DB3624">
      <w:pPr>
        <w:pStyle w:val="ConsPlusCell"/>
        <w:jc w:val="both"/>
      </w:pPr>
      <w:r w:rsidRPr="002513D7">
        <w:rPr>
          <w:sz w:val="18"/>
        </w:rPr>
        <w:t>│Ритуальные, обрядовые услуги                                 │      1        │</w:t>
      </w:r>
    </w:p>
    <w:p w:rsidR="00DB3624" w:rsidRPr="002513D7" w:rsidRDefault="00DB3624">
      <w:pPr>
        <w:pStyle w:val="ConsPlusCell"/>
        <w:jc w:val="both"/>
      </w:pPr>
      <w:r w:rsidRPr="002513D7">
        <w:rPr>
          <w:sz w:val="18"/>
        </w:rPr>
        <w:t>├─────────────────────────────────────────────────────────────┼───────────────┤</w:t>
      </w:r>
    </w:p>
    <w:p w:rsidR="00DB3624" w:rsidRPr="002513D7" w:rsidRDefault="00DB3624">
      <w:pPr>
        <w:pStyle w:val="ConsPlusCell"/>
        <w:jc w:val="both"/>
      </w:pPr>
      <w:r w:rsidRPr="002513D7">
        <w:rPr>
          <w:sz w:val="18"/>
        </w:rPr>
        <w:t>│Прочие услуги непроизводственного характера в соответствии с │      1        │</w:t>
      </w:r>
    </w:p>
    <w:p w:rsidR="00DB3624" w:rsidRPr="002513D7" w:rsidRDefault="00DB3624">
      <w:pPr>
        <w:pStyle w:val="ConsPlusCell"/>
        <w:jc w:val="both"/>
      </w:pPr>
      <w:r w:rsidRPr="002513D7">
        <w:rPr>
          <w:sz w:val="18"/>
        </w:rPr>
        <w:t>│"</w:t>
      </w:r>
      <w:r w:rsidRPr="0088567F">
        <w:rPr>
          <w:sz w:val="18"/>
        </w:rPr>
        <w:t>Общероссийским классификатором услуг населению" ОК 002-93</w:t>
      </w:r>
      <w:r w:rsidRPr="002513D7">
        <w:rPr>
          <w:sz w:val="18"/>
        </w:rPr>
        <w:t xml:space="preserve">   │               │</w:t>
      </w:r>
    </w:p>
    <w:p w:rsidR="00DB3624" w:rsidRPr="002513D7" w:rsidRDefault="00DB3624">
      <w:pPr>
        <w:pStyle w:val="ConsPlusCell"/>
        <w:jc w:val="both"/>
      </w:pPr>
      <w:r w:rsidRPr="002513D7">
        <w:rPr>
          <w:sz w:val="18"/>
        </w:rPr>
        <w:t>│(за исключением услуг ломбардов)                             │               │</w:t>
      </w:r>
    </w:p>
    <w:p w:rsidR="00DB3624" w:rsidRPr="002513D7" w:rsidRDefault="00DB3624">
      <w:pPr>
        <w:pStyle w:val="ConsPlusCell"/>
        <w:jc w:val="both"/>
      </w:pPr>
      <w:r w:rsidRPr="002513D7">
        <w:rPr>
          <w:sz w:val="18"/>
        </w:rPr>
        <w:t>└─────────────────────────────────────────────────────────────┴───────────────┘</w:t>
      </w:r>
    </w:p>
    <w:p w:rsidR="00DB3624" w:rsidRPr="002513D7" w:rsidRDefault="00DB3624">
      <w:pPr>
        <w:pStyle w:val="ConsPlusNormal"/>
        <w:ind w:firstLine="540"/>
        <w:jc w:val="both"/>
      </w:pPr>
    </w:p>
    <w:p w:rsidR="00DB3624" w:rsidRDefault="00DB3624" w:rsidP="0046688D">
      <w:pPr>
        <w:pStyle w:val="ConsPlusNormal"/>
        <w:ind w:firstLine="540"/>
        <w:jc w:val="both"/>
      </w:pPr>
      <w:r>
        <w:t>8.3.10. Значение корректирующего коэффициента К2 в отношении вида предпринимательской деятельности "Распространение и (или) размещение наружной рекламы" применяется в размере 0,1 (в исторической части города - 0,15).</w:t>
      </w:r>
    </w:p>
    <w:p w:rsidR="00DB3624" w:rsidRDefault="00DB3624" w:rsidP="0046688D">
      <w:pPr>
        <w:pStyle w:val="ConsPlusNormal"/>
        <w:ind w:firstLine="540"/>
        <w:jc w:val="both"/>
      </w:pPr>
      <w:r>
        <w:t>8.3.11. Значение корректирующего коэффициента К2 в отношении вида предпринимательской деятельности "Распространение и (или) размещение рекламы на автобусах любых типов, легковых и грузовых автомобилях, прицепах, полуприцепах и прицепах-роспусках" применяется в размере 0,7.</w:t>
      </w:r>
    </w:p>
    <w:p w:rsidR="00DB3624" w:rsidRDefault="00DB3624" w:rsidP="0046688D">
      <w:pPr>
        <w:pStyle w:val="ConsPlusNormal"/>
        <w:ind w:firstLine="540"/>
        <w:jc w:val="both"/>
      </w:pPr>
      <w:r>
        <w:t>8.3.12. Значение корректирующего коэффициента К2 в отношении вида предпринимательской деятельности "Оказание ветеринарных услуг" применяется в размере 0,6.</w:t>
      </w:r>
    </w:p>
    <w:p w:rsidR="00DB3624" w:rsidRDefault="00DB3624" w:rsidP="0046688D">
      <w:pPr>
        <w:pStyle w:val="ConsPlusNormal"/>
        <w:ind w:firstLine="540"/>
        <w:jc w:val="both"/>
      </w:pPr>
      <w:r>
        <w:t>8.3.13. Значение корректирующего коэффициента К2 в отношении вида предпринимательской деятельности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спальных помещений не более 500 квадратных метров" применяется в размере 0,1.</w:t>
      </w:r>
    </w:p>
    <w:p w:rsidR="00DB3624" w:rsidRDefault="00DB3624" w:rsidP="0046688D">
      <w:pPr>
        <w:pStyle w:val="ConsPlusNormal"/>
        <w:ind w:firstLine="540"/>
        <w:jc w:val="both"/>
      </w:pPr>
      <w:r>
        <w:t>8.3.14. Значение корректирующего коэффициента К2 в отношении вида предпринимательской деятельности "Оказание услуг по передаче во временное владение и (или) пользование стационарных торговых мест, расположенных на рынках и в других местах торговли, не имеющих залов обслуживания посетителей" применяется в размере 0,15.</w:t>
      </w:r>
    </w:p>
    <w:p w:rsidR="00DB3624" w:rsidRDefault="00DB3624" w:rsidP="0046688D">
      <w:pPr>
        <w:pStyle w:val="ConsPlusNormal"/>
        <w:ind w:firstLine="540"/>
        <w:jc w:val="both"/>
      </w:pPr>
      <w:r>
        <w:t>8.3.15. В случае если в течение налогового периода у налогоплательщика произошло изменение величины физического показателя, значение корректирующего коэффициента К2 определяется за каждый месяц, в котором произошли данные измерения. При этом в целях определения значения коэффициента величина дохода за каждый месяц налогового периода определяется в соответствии с данными таблиц значений корректирующего коэффициента по строке "Величина дохода за месяц на квадратный метр".</w:t>
      </w:r>
    </w:p>
    <w:p w:rsidR="00DB3624" w:rsidRDefault="00DB3624" w:rsidP="0046688D">
      <w:pPr>
        <w:pStyle w:val="ConsPlusNormal"/>
        <w:ind w:firstLine="540"/>
        <w:jc w:val="both"/>
      </w:pPr>
      <w:r>
        <w:t>По итогам налогового периода значение корректирующего коэффициента К2 определяется как отношение суммы значений коэффициентов за каждый месяц к числу календарных месяцев в налоговом периоде, в течение которых осуществлялась деятельность".</w:t>
      </w:r>
    </w:p>
    <w:p w:rsidR="00DB3624" w:rsidRDefault="00DB3624" w:rsidP="0046688D">
      <w:pPr>
        <w:pStyle w:val="ConsPlusNormal"/>
        <w:ind w:firstLine="540"/>
        <w:jc w:val="both"/>
      </w:pPr>
      <w:r>
        <w:t>1.8. Главу 14 считать главой 9 и слова "Управление МНС России по Пермской области и Коми-Пермяцкому АО" заменить словами "Управление федеральной налоговой службы по Пермской области и Коми-Пермяцкому АО".</w:t>
      </w:r>
    </w:p>
    <w:p w:rsidR="00DB3624" w:rsidRDefault="00DB3624" w:rsidP="0046688D">
      <w:pPr>
        <w:pStyle w:val="ConsPlusNormal"/>
        <w:ind w:firstLine="540"/>
        <w:jc w:val="both"/>
      </w:pPr>
      <w:r>
        <w:t>2. Настоящее решение опубликовать в газете "Искра".</w:t>
      </w:r>
    </w:p>
    <w:p w:rsidR="00DB3624" w:rsidRPr="00FC5BEB" w:rsidRDefault="00DB3624" w:rsidP="0046688D">
      <w:pPr>
        <w:pStyle w:val="ConsPlusNormal"/>
        <w:ind w:firstLine="540"/>
        <w:jc w:val="both"/>
      </w:pPr>
      <w:r>
        <w:t>3. Настоящее решение вступает в силу с 1 января 2006 года.</w:t>
      </w:r>
    </w:p>
    <w:p w:rsidR="00DB3624" w:rsidRPr="00FC5BEB" w:rsidRDefault="00DB3624">
      <w:pPr>
        <w:pStyle w:val="ConsPlusNormal"/>
        <w:ind w:firstLine="540"/>
        <w:jc w:val="both"/>
      </w:pPr>
    </w:p>
    <w:p w:rsidR="00DB3624" w:rsidRPr="00FC5BEB" w:rsidRDefault="00DB3624">
      <w:pPr>
        <w:pStyle w:val="ConsPlusNormal"/>
        <w:ind w:firstLine="540"/>
        <w:jc w:val="both"/>
      </w:pPr>
    </w:p>
    <w:p w:rsidR="00DB3624" w:rsidRPr="008713E9" w:rsidRDefault="00DB3624">
      <w:pPr>
        <w:pStyle w:val="ConsPlusNormal"/>
        <w:jc w:val="right"/>
        <w:rPr>
          <w:i/>
        </w:rPr>
      </w:pPr>
      <w:r w:rsidRPr="008713E9">
        <w:rPr>
          <w:i/>
        </w:rPr>
        <w:t>Глава</w:t>
      </w:r>
      <w:r>
        <w:rPr>
          <w:i/>
          <w:lang w:val="en-US"/>
        </w:rPr>
        <w:t xml:space="preserve"> </w:t>
      </w:r>
      <w:r w:rsidRPr="008713E9">
        <w:rPr>
          <w:i/>
        </w:rPr>
        <w:t>города</w:t>
      </w:r>
    </w:p>
    <w:p w:rsidR="00DB3624" w:rsidRDefault="00DB3624">
      <w:pPr>
        <w:pStyle w:val="ConsPlusNormal"/>
        <w:jc w:val="right"/>
      </w:pPr>
      <w:r w:rsidRPr="008713E9">
        <w:rPr>
          <w:i/>
        </w:rPr>
        <w:t>А.Н.МАХМУДОВ</w:t>
      </w:r>
    </w:p>
    <w:sectPr w:rsidR="00DB3624" w:rsidSect="006640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B7B"/>
    <w:rsid w:val="00014FA2"/>
    <w:rsid w:val="00046D95"/>
    <w:rsid w:val="000679EB"/>
    <w:rsid w:val="000F2676"/>
    <w:rsid w:val="001C457A"/>
    <w:rsid w:val="00221547"/>
    <w:rsid w:val="002513D7"/>
    <w:rsid w:val="002F645D"/>
    <w:rsid w:val="00361438"/>
    <w:rsid w:val="003E2180"/>
    <w:rsid w:val="0046688D"/>
    <w:rsid w:val="004A521C"/>
    <w:rsid w:val="004D1F58"/>
    <w:rsid w:val="005D3650"/>
    <w:rsid w:val="00657044"/>
    <w:rsid w:val="00657B7B"/>
    <w:rsid w:val="0066406F"/>
    <w:rsid w:val="006836AE"/>
    <w:rsid w:val="0078513E"/>
    <w:rsid w:val="007861EC"/>
    <w:rsid w:val="00836E3B"/>
    <w:rsid w:val="008713E9"/>
    <w:rsid w:val="0088567F"/>
    <w:rsid w:val="008E7B76"/>
    <w:rsid w:val="00910515"/>
    <w:rsid w:val="00957FCD"/>
    <w:rsid w:val="00972416"/>
    <w:rsid w:val="00992DEF"/>
    <w:rsid w:val="009A322E"/>
    <w:rsid w:val="00A92630"/>
    <w:rsid w:val="00B921E6"/>
    <w:rsid w:val="00CA0C94"/>
    <w:rsid w:val="00D2359A"/>
    <w:rsid w:val="00DB3624"/>
    <w:rsid w:val="00DC0EF1"/>
    <w:rsid w:val="00E56924"/>
    <w:rsid w:val="00E9240D"/>
    <w:rsid w:val="00EE5B37"/>
    <w:rsid w:val="00F05245"/>
    <w:rsid w:val="00FC5B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3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657B7B"/>
    <w:pPr>
      <w:widowControl w:val="0"/>
      <w:autoSpaceDE w:val="0"/>
      <w:autoSpaceDN w:val="0"/>
    </w:pPr>
    <w:rPr>
      <w:rFonts w:eastAsia="Times New Roman" w:cs="Calibri"/>
      <w:szCs w:val="20"/>
    </w:rPr>
  </w:style>
  <w:style w:type="paragraph" w:customStyle="1" w:styleId="ConsPlusNonformat">
    <w:name w:val="ConsPlusNonformat"/>
    <w:uiPriority w:val="99"/>
    <w:rsid w:val="00657B7B"/>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57B7B"/>
    <w:pPr>
      <w:widowControl w:val="0"/>
      <w:autoSpaceDE w:val="0"/>
      <w:autoSpaceDN w:val="0"/>
    </w:pPr>
    <w:rPr>
      <w:rFonts w:eastAsia="Times New Roman" w:cs="Calibri"/>
      <w:b/>
      <w:szCs w:val="20"/>
    </w:rPr>
  </w:style>
  <w:style w:type="paragraph" w:customStyle="1" w:styleId="ConsPlusCell">
    <w:name w:val="ConsPlusCell"/>
    <w:uiPriority w:val="99"/>
    <w:rsid w:val="00657B7B"/>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57B7B"/>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57B7B"/>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57B7B"/>
    <w:pPr>
      <w:widowControl w:val="0"/>
      <w:autoSpaceDE w:val="0"/>
      <w:autoSpaceDN w:val="0"/>
    </w:pPr>
    <w:rPr>
      <w:rFonts w:ascii="Tahoma" w:eastAsia="Times New Roman" w:hAnsi="Tahoma" w:cs="Tahoma"/>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11</Pages>
  <Words>4518</Words>
  <Characters>25755</Characters>
  <Application>Microsoft Office Outlook</Application>
  <DocSecurity>0</DocSecurity>
  <Lines>0</Lines>
  <Paragraphs>0</Paragraphs>
  <ScaleCrop>false</ScaleCrop>
  <Company>UFNS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5900-03-209</dc:creator>
  <cp:keywords/>
  <dc:description/>
  <cp:lastModifiedBy>Sna</cp:lastModifiedBy>
  <cp:revision>12</cp:revision>
  <dcterms:created xsi:type="dcterms:W3CDTF">2016-07-19T05:07:00Z</dcterms:created>
  <dcterms:modified xsi:type="dcterms:W3CDTF">2016-10-28T06:21:00Z</dcterms:modified>
</cp:coreProperties>
</file>