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F7" w:rsidRPr="00982D27" w:rsidRDefault="007961F7">
      <w:pPr>
        <w:pStyle w:val="ConsPlusTitle"/>
        <w:jc w:val="center"/>
        <w:rPr>
          <w:rFonts w:ascii="Times New Roman" w:hAnsi="Times New Roman" w:cs="Times New Roman"/>
          <w:color w:val="000000"/>
        </w:rPr>
      </w:pPr>
      <w:r w:rsidRPr="00EF08F5">
        <w:rPr>
          <w:rFonts w:ascii="Times New Roman" w:hAnsi="Times New Roman" w:cs="Times New Roman"/>
          <w:color w:val="000000"/>
        </w:rPr>
        <w:t>+</w:t>
      </w:r>
      <w:r w:rsidRPr="00982D27">
        <w:rPr>
          <w:rFonts w:ascii="Times New Roman" w:hAnsi="Times New Roman" w:cs="Times New Roman"/>
          <w:color w:val="000000"/>
        </w:rPr>
        <w:t>БЕРЕЗНИКОВСКАЯ ГОРОДСКАЯ ДУМА</w:t>
      </w:r>
    </w:p>
    <w:p w:rsidR="007961F7" w:rsidRPr="00982D27" w:rsidRDefault="007961F7">
      <w:pPr>
        <w:pStyle w:val="ConsPlusTitle"/>
        <w:jc w:val="center"/>
        <w:rPr>
          <w:rFonts w:ascii="Times New Roman" w:hAnsi="Times New Roman" w:cs="Times New Roman"/>
          <w:color w:val="000000"/>
        </w:rPr>
      </w:pP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РЕШЕНИЕ</w:t>
      </w: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от 30 октября 2007 г. N 357</w:t>
      </w:r>
    </w:p>
    <w:p w:rsidR="007961F7" w:rsidRPr="00982D27" w:rsidRDefault="007961F7">
      <w:pPr>
        <w:pStyle w:val="ConsPlusTitle"/>
        <w:jc w:val="center"/>
        <w:rPr>
          <w:rFonts w:ascii="Times New Roman" w:hAnsi="Times New Roman" w:cs="Times New Roman"/>
          <w:color w:val="000000"/>
        </w:rPr>
      </w:pP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О ВНЕСЕНИИ ИЗМЕНЕНИЙ И ДОПОЛНЕНИЙ В РЕШЕНИЕ БЕРЕЗНИКОВСКОЙ</w:t>
      </w: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ГОРОДСКОЙ ДУМЫ ОТ 27.09.2005 N 33 "О СИСТЕМЕ НАЛОГООБЛОЖЕНИЯ</w:t>
      </w: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В ВИДЕ ЕДИНОГО НАЛОГА НА ВМЕНЕННЫЙ ДОХОД ДЛЯ ОТДЕЛЬНЫХ ВИДОВ</w:t>
      </w:r>
    </w:p>
    <w:p w:rsidR="007961F7" w:rsidRPr="00982D27" w:rsidRDefault="007961F7">
      <w:pPr>
        <w:pStyle w:val="ConsPlusTitle"/>
        <w:jc w:val="center"/>
        <w:rPr>
          <w:rFonts w:ascii="Times New Roman" w:hAnsi="Times New Roman" w:cs="Times New Roman"/>
          <w:color w:val="000000"/>
        </w:rPr>
      </w:pPr>
      <w:r w:rsidRPr="00982D27">
        <w:rPr>
          <w:rFonts w:ascii="Times New Roman" w:hAnsi="Times New Roman" w:cs="Times New Roman"/>
          <w:color w:val="000000"/>
        </w:rPr>
        <w:t>ДЕЯТЕЛЬНОСТИ"</w:t>
      </w:r>
    </w:p>
    <w:p w:rsidR="007961F7" w:rsidRPr="00982D27" w:rsidRDefault="007961F7">
      <w:pPr>
        <w:pStyle w:val="ConsPlusNormal"/>
        <w:jc w:val="center"/>
        <w:rPr>
          <w:rFonts w:ascii="Times New Roman" w:hAnsi="Times New Roman" w:cs="Times New Roman"/>
          <w:color w:val="000000"/>
        </w:rPr>
      </w:pP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В соответствии с Налоговым и Бюджетным кодексами Российской Федерации и ст. 19 Устава города Березниковская городская Дума решает:</w:t>
      </w:r>
    </w:p>
    <w:p w:rsidR="007961F7" w:rsidRPr="000C4C9E" w:rsidRDefault="007961F7" w:rsidP="000C4C9E">
      <w:pPr>
        <w:pStyle w:val="ConsPlusNormal"/>
        <w:ind w:firstLine="540"/>
        <w:jc w:val="both"/>
        <w:rPr>
          <w:rFonts w:ascii="Times New Roman" w:hAnsi="Times New Roman" w:cs="Times New Roman"/>
          <w:color w:val="000000"/>
        </w:rPr>
      </w:pP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 Внести изменения и дополнения в решение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1.1. подпункт 2.8 после слов "оказания услуг общественного питания, осуществляемых через объекты организации общественного питания" дополнить словами "(за исключением оказания услуг общественного питания учреждениями образования, здравоохранения и социального обеспечения)";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1.2. в подпункте 2.12 слова "спальных помещений" заменить словами "помещений для временного размещения и проживания";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1.3. подпункт 2.13 изложить в следующей редакции: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"2.13. оказания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1.4. дополнить подпунктом 2.14 следующего содержания: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"2.14. оказания услуг по передаче во временное владение и(или)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 Внести изменения и дополнения в приложение, утвержденное решением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2.1. Пункт 4 изложить в редакции: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"4. Для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корректирующий коэффициент базовой доходности К2 рассчитывается следующим образом:</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4.1. Значение корректирующего коэффициента К2 в отношении оказания автотранспортных услуг по перевозке грузов устанавливается в размере 1.</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4.2. Значение корректирующего коэффициента К2 в отношении оказания автотранспортных услуг по перевозке пассажиров рассчитывается по следующей формуле:</w:t>
      </w:r>
    </w:p>
    <w:p w:rsidR="007961F7" w:rsidRPr="000C4C9E" w:rsidRDefault="007961F7" w:rsidP="000C4C9E">
      <w:pPr>
        <w:pStyle w:val="ConsPlusNormal"/>
        <w:ind w:firstLine="540"/>
        <w:jc w:val="both"/>
        <w:rPr>
          <w:rFonts w:ascii="Times New Roman" w:hAnsi="Times New Roman" w:cs="Times New Roman"/>
          <w:color w:val="000000"/>
        </w:rPr>
      </w:pP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К2 = К ву х К кпм, где</w:t>
      </w:r>
    </w:p>
    <w:p w:rsidR="007961F7" w:rsidRPr="000C4C9E" w:rsidRDefault="007961F7" w:rsidP="000C4C9E">
      <w:pPr>
        <w:pStyle w:val="ConsPlusNormal"/>
        <w:ind w:firstLine="540"/>
        <w:jc w:val="both"/>
        <w:rPr>
          <w:rFonts w:ascii="Times New Roman" w:hAnsi="Times New Roman" w:cs="Times New Roman"/>
          <w:color w:val="000000"/>
        </w:rPr>
      </w:pP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К ву - коэффициент, учитывающий особенности вида предоставляемых услуг (таблица 1);</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К кпм - коэффициент, учитывающий количество посадочных мест в каждом транспортном средстве (таблица 2).</w:t>
      </w:r>
    </w:p>
    <w:p w:rsidR="007961F7" w:rsidRPr="00982D27" w:rsidRDefault="007961F7">
      <w:pPr>
        <w:pStyle w:val="ConsPlusNormal"/>
        <w:jc w:val="right"/>
        <w:rPr>
          <w:rFonts w:ascii="Times New Roman" w:hAnsi="Times New Roman" w:cs="Times New Roman"/>
          <w:color w:val="000000"/>
        </w:rPr>
      </w:pPr>
      <w:r w:rsidRPr="00982D27">
        <w:rPr>
          <w:rFonts w:ascii="Times New Roman" w:hAnsi="Times New Roman" w:cs="Times New Roman"/>
          <w:color w:val="000000"/>
        </w:rPr>
        <w:t>Таблица 1</w:t>
      </w:r>
    </w:p>
    <w:p w:rsidR="007961F7" w:rsidRPr="00982D27" w:rsidRDefault="007961F7">
      <w:pPr>
        <w:pStyle w:val="ConsPlusNormal"/>
        <w:ind w:firstLine="540"/>
        <w:jc w:val="both"/>
        <w:rPr>
          <w:rFonts w:ascii="Times New Roman" w:hAnsi="Times New Roman" w:cs="Times New Roman"/>
          <w:color w:val="000000"/>
        </w:rPr>
      </w:pPr>
    </w:p>
    <w:p w:rsidR="007961F7" w:rsidRPr="00982D27" w:rsidRDefault="007961F7">
      <w:pPr>
        <w:pStyle w:val="ConsPlusNormal"/>
        <w:jc w:val="center"/>
        <w:rPr>
          <w:rFonts w:ascii="Times New Roman" w:hAnsi="Times New Roman" w:cs="Times New Roman"/>
          <w:color w:val="000000"/>
        </w:rPr>
      </w:pPr>
      <w:bookmarkStart w:id="0" w:name="P33"/>
      <w:bookmarkEnd w:id="0"/>
      <w:r w:rsidRPr="00982D27">
        <w:rPr>
          <w:rFonts w:ascii="Times New Roman" w:hAnsi="Times New Roman" w:cs="Times New Roman"/>
          <w:color w:val="000000"/>
        </w:rPr>
        <w:t>Значения коэффициента К ву, учитывающего особенности вида</w:t>
      </w:r>
    </w:p>
    <w:p w:rsidR="007961F7" w:rsidRPr="00982D27" w:rsidRDefault="007961F7">
      <w:pPr>
        <w:pStyle w:val="ConsPlusNormal"/>
        <w:jc w:val="center"/>
        <w:rPr>
          <w:rFonts w:ascii="Times New Roman" w:hAnsi="Times New Roman" w:cs="Times New Roman"/>
          <w:color w:val="000000"/>
        </w:rPr>
      </w:pPr>
      <w:r w:rsidRPr="00982D27">
        <w:rPr>
          <w:rFonts w:ascii="Times New Roman" w:hAnsi="Times New Roman" w:cs="Times New Roman"/>
          <w:color w:val="000000"/>
        </w:rPr>
        <w:t>предоставляемых услуг</w:t>
      </w:r>
    </w:p>
    <w:p w:rsidR="007961F7" w:rsidRPr="00982D27" w:rsidRDefault="007961F7">
      <w:pPr>
        <w:pStyle w:val="ConsPlusNormal"/>
        <w:ind w:firstLine="540"/>
        <w:jc w:val="both"/>
        <w:rPr>
          <w:rFonts w:ascii="Times New Roman" w:hAnsi="Times New Roman" w:cs="Times New Roman"/>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10"/>
        <w:gridCol w:w="4026"/>
        <w:gridCol w:w="1464"/>
      </w:tblGrid>
      <w:tr w:rsidR="007961F7" w:rsidRPr="00982D27">
        <w:trPr>
          <w:trHeight w:val="227"/>
        </w:trPr>
        <w:tc>
          <w:tcPr>
            <w:tcW w:w="610"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N </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п/п</w:t>
            </w:r>
          </w:p>
        </w:tc>
        <w:tc>
          <w:tcPr>
            <w:tcW w:w="4026"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Вид деятельности       </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(вид предоставляемых услуг) </w:t>
            </w:r>
          </w:p>
        </w:tc>
        <w:tc>
          <w:tcPr>
            <w:tcW w:w="1464"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Значение  </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показателя</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К ву   </w:t>
            </w: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1 </w:t>
            </w:r>
          </w:p>
        </w:tc>
        <w:tc>
          <w:tcPr>
            <w:tcW w:w="4026"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Оказание автотранспортных услуг</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 перевозке пассажиров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1,0    </w:t>
            </w:r>
          </w:p>
        </w:tc>
      </w:tr>
    </w:tbl>
    <w:p w:rsidR="007961F7" w:rsidRPr="00982D27" w:rsidRDefault="007961F7">
      <w:pPr>
        <w:pStyle w:val="ConsPlusNormal"/>
        <w:ind w:firstLine="540"/>
        <w:jc w:val="both"/>
        <w:rPr>
          <w:rFonts w:ascii="Times New Roman" w:hAnsi="Times New Roman" w:cs="Times New Roman"/>
          <w:color w:val="000000"/>
        </w:rPr>
      </w:pPr>
    </w:p>
    <w:p w:rsidR="007961F7" w:rsidRPr="00982D27" w:rsidRDefault="007961F7">
      <w:pPr>
        <w:pStyle w:val="ConsPlusNormal"/>
        <w:jc w:val="right"/>
        <w:rPr>
          <w:rFonts w:ascii="Times New Roman" w:hAnsi="Times New Roman" w:cs="Times New Roman"/>
          <w:color w:val="000000"/>
        </w:rPr>
      </w:pPr>
      <w:r w:rsidRPr="00982D27">
        <w:rPr>
          <w:rFonts w:ascii="Times New Roman" w:hAnsi="Times New Roman" w:cs="Times New Roman"/>
          <w:color w:val="000000"/>
        </w:rPr>
        <w:t>Таблица 2</w:t>
      </w:r>
    </w:p>
    <w:p w:rsidR="007961F7" w:rsidRPr="00982D27" w:rsidRDefault="007961F7">
      <w:pPr>
        <w:pStyle w:val="ConsPlusNormal"/>
        <w:jc w:val="right"/>
        <w:rPr>
          <w:rFonts w:ascii="Times New Roman" w:hAnsi="Times New Roman" w:cs="Times New Roman"/>
          <w:color w:val="000000"/>
        </w:rPr>
      </w:pPr>
    </w:p>
    <w:p w:rsidR="007961F7" w:rsidRPr="00982D27" w:rsidRDefault="007961F7">
      <w:pPr>
        <w:pStyle w:val="ConsPlusNormal"/>
        <w:jc w:val="center"/>
        <w:rPr>
          <w:rFonts w:ascii="Times New Roman" w:hAnsi="Times New Roman" w:cs="Times New Roman"/>
          <w:color w:val="000000"/>
        </w:rPr>
      </w:pPr>
      <w:bookmarkStart w:id="1" w:name="P47"/>
      <w:bookmarkEnd w:id="1"/>
      <w:r w:rsidRPr="00982D27">
        <w:rPr>
          <w:rFonts w:ascii="Times New Roman" w:hAnsi="Times New Roman" w:cs="Times New Roman"/>
          <w:color w:val="000000"/>
        </w:rPr>
        <w:t>Значения коэффициента К кпм, учитывающего количество</w:t>
      </w:r>
    </w:p>
    <w:p w:rsidR="007961F7" w:rsidRPr="00982D27" w:rsidRDefault="007961F7">
      <w:pPr>
        <w:pStyle w:val="ConsPlusNormal"/>
        <w:jc w:val="center"/>
        <w:rPr>
          <w:rFonts w:ascii="Times New Roman" w:hAnsi="Times New Roman" w:cs="Times New Roman"/>
          <w:color w:val="000000"/>
        </w:rPr>
      </w:pPr>
      <w:r w:rsidRPr="00982D27">
        <w:rPr>
          <w:rFonts w:ascii="Times New Roman" w:hAnsi="Times New Roman" w:cs="Times New Roman"/>
          <w:color w:val="000000"/>
        </w:rPr>
        <w:t>посадочных мест в каждом транспортном средстве</w:t>
      </w:r>
    </w:p>
    <w:p w:rsidR="007961F7" w:rsidRPr="00982D27" w:rsidRDefault="007961F7">
      <w:pPr>
        <w:pStyle w:val="ConsPlusNormal"/>
        <w:ind w:firstLine="540"/>
        <w:jc w:val="both"/>
        <w:rPr>
          <w:rFonts w:ascii="Times New Roman" w:hAnsi="Times New Roman" w:cs="Times New Roman"/>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10"/>
        <w:gridCol w:w="4514"/>
        <w:gridCol w:w="1464"/>
        <w:gridCol w:w="366"/>
      </w:tblGrid>
      <w:tr w:rsidR="007961F7" w:rsidRPr="00982D27">
        <w:trPr>
          <w:trHeight w:val="227"/>
        </w:trPr>
        <w:tc>
          <w:tcPr>
            <w:tcW w:w="610"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N </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п/п</w:t>
            </w:r>
          </w:p>
        </w:tc>
        <w:tc>
          <w:tcPr>
            <w:tcW w:w="4514"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Количество посадочных мест в каждом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транспортном средстве       </w:t>
            </w:r>
          </w:p>
        </w:tc>
        <w:tc>
          <w:tcPr>
            <w:tcW w:w="1464" w:type="dxa"/>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Значение </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показателя</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К кпм  </w:t>
            </w:r>
          </w:p>
        </w:tc>
        <w:tc>
          <w:tcPr>
            <w:tcW w:w="366" w:type="dxa"/>
            <w:vMerge w:val="restart"/>
            <w:tcBorders>
              <w:left w:val="nil"/>
              <w:bottom w:val="nil"/>
              <w:right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w:t>
            </w: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1 </w:t>
            </w:r>
          </w:p>
        </w:tc>
        <w:tc>
          <w:tcPr>
            <w:tcW w:w="451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Транспортное средство с количеством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посадочных мест до 10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1,0    </w:t>
            </w:r>
          </w:p>
        </w:tc>
        <w:tc>
          <w:tcPr>
            <w:tcW w:w="244" w:type="dxa"/>
            <w:vMerge/>
            <w:tcBorders>
              <w:top w:val="nil"/>
              <w:left w:val="nil"/>
              <w:bottom w:val="nil"/>
              <w:right w:val="nil"/>
            </w:tcBorders>
          </w:tcPr>
          <w:p w:rsidR="007961F7" w:rsidRPr="00982D27" w:rsidRDefault="007961F7">
            <w:pPr>
              <w:rPr>
                <w:rFonts w:ascii="Times New Roman" w:hAnsi="Times New Roman"/>
                <w:color w:val="000000"/>
              </w:rPr>
            </w:pP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2 </w:t>
            </w:r>
          </w:p>
        </w:tc>
        <w:tc>
          <w:tcPr>
            <w:tcW w:w="451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Транспортное средство с количеством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посадочных мест свыше 10 до 20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0,50   </w:t>
            </w:r>
          </w:p>
        </w:tc>
        <w:tc>
          <w:tcPr>
            <w:tcW w:w="244" w:type="dxa"/>
            <w:vMerge/>
            <w:tcBorders>
              <w:top w:val="nil"/>
              <w:left w:val="nil"/>
              <w:bottom w:val="nil"/>
              <w:right w:val="nil"/>
            </w:tcBorders>
          </w:tcPr>
          <w:p w:rsidR="007961F7" w:rsidRPr="00982D27" w:rsidRDefault="007961F7">
            <w:pPr>
              <w:rPr>
                <w:rFonts w:ascii="Times New Roman" w:hAnsi="Times New Roman"/>
                <w:color w:val="000000"/>
              </w:rPr>
            </w:pP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3 </w:t>
            </w:r>
          </w:p>
        </w:tc>
        <w:tc>
          <w:tcPr>
            <w:tcW w:w="451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Транспортное средство с количеством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посадочных мест свыше 20 до 30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0,24   </w:t>
            </w:r>
          </w:p>
        </w:tc>
        <w:tc>
          <w:tcPr>
            <w:tcW w:w="244" w:type="dxa"/>
            <w:vMerge/>
            <w:tcBorders>
              <w:top w:val="nil"/>
              <w:left w:val="nil"/>
              <w:bottom w:val="nil"/>
              <w:right w:val="nil"/>
            </w:tcBorders>
          </w:tcPr>
          <w:p w:rsidR="007961F7" w:rsidRPr="00982D27" w:rsidRDefault="007961F7">
            <w:pPr>
              <w:rPr>
                <w:rFonts w:ascii="Times New Roman" w:hAnsi="Times New Roman"/>
                <w:color w:val="000000"/>
              </w:rPr>
            </w:pP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4 </w:t>
            </w:r>
          </w:p>
        </w:tc>
        <w:tc>
          <w:tcPr>
            <w:tcW w:w="451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Транспортное средство с количеством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посадочных мест свыше 30 до 40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0,16   </w:t>
            </w:r>
          </w:p>
        </w:tc>
        <w:tc>
          <w:tcPr>
            <w:tcW w:w="244" w:type="dxa"/>
            <w:vMerge/>
            <w:tcBorders>
              <w:top w:val="nil"/>
              <w:left w:val="nil"/>
              <w:bottom w:val="nil"/>
              <w:right w:val="nil"/>
            </w:tcBorders>
          </w:tcPr>
          <w:p w:rsidR="007961F7" w:rsidRPr="00982D27" w:rsidRDefault="007961F7">
            <w:pPr>
              <w:rPr>
                <w:rFonts w:ascii="Times New Roman" w:hAnsi="Times New Roman"/>
                <w:color w:val="000000"/>
              </w:rPr>
            </w:pPr>
          </w:p>
        </w:tc>
      </w:tr>
      <w:tr w:rsidR="007961F7" w:rsidRPr="00982D27">
        <w:trPr>
          <w:trHeight w:val="227"/>
        </w:trPr>
        <w:tc>
          <w:tcPr>
            <w:tcW w:w="610"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5 </w:t>
            </w:r>
          </w:p>
        </w:tc>
        <w:tc>
          <w:tcPr>
            <w:tcW w:w="451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Транспортное средство с количеством</w:t>
            </w:r>
          </w:p>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посадочных мест свыше 40 мест      </w:t>
            </w:r>
          </w:p>
        </w:tc>
        <w:tc>
          <w:tcPr>
            <w:tcW w:w="1464" w:type="dxa"/>
            <w:tcBorders>
              <w:top w:val="nil"/>
            </w:tcBorders>
          </w:tcPr>
          <w:p w:rsidR="007961F7" w:rsidRPr="00982D27" w:rsidRDefault="007961F7">
            <w:pPr>
              <w:pStyle w:val="ConsPlusNonformat"/>
              <w:rPr>
                <w:rFonts w:ascii="Times New Roman" w:hAnsi="Times New Roman" w:cs="Times New Roman"/>
                <w:color w:val="000000"/>
              </w:rPr>
            </w:pPr>
            <w:r w:rsidRPr="00982D27">
              <w:rPr>
                <w:rFonts w:ascii="Times New Roman" w:hAnsi="Times New Roman" w:cs="Times New Roman"/>
                <w:color w:val="000000"/>
              </w:rPr>
              <w:t xml:space="preserve">   0,11   </w:t>
            </w:r>
          </w:p>
        </w:tc>
        <w:tc>
          <w:tcPr>
            <w:tcW w:w="244" w:type="dxa"/>
            <w:vMerge/>
            <w:tcBorders>
              <w:top w:val="nil"/>
              <w:left w:val="nil"/>
              <w:bottom w:val="nil"/>
              <w:right w:val="nil"/>
            </w:tcBorders>
          </w:tcPr>
          <w:p w:rsidR="007961F7" w:rsidRPr="00982D27" w:rsidRDefault="007961F7">
            <w:pPr>
              <w:rPr>
                <w:rFonts w:ascii="Times New Roman" w:hAnsi="Times New Roman"/>
                <w:color w:val="000000"/>
              </w:rPr>
            </w:pPr>
          </w:p>
        </w:tc>
      </w:tr>
    </w:tbl>
    <w:p w:rsidR="007961F7" w:rsidRPr="00982D27" w:rsidRDefault="007961F7">
      <w:pPr>
        <w:pStyle w:val="ConsPlusNormal"/>
        <w:ind w:firstLine="540"/>
        <w:jc w:val="both"/>
        <w:rPr>
          <w:rFonts w:ascii="Times New Roman" w:hAnsi="Times New Roman" w:cs="Times New Roman"/>
          <w:color w:val="000000"/>
        </w:rPr>
      </w:pP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2.2. Абзац 1 пункта 6 изложить в редакции: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"Значение корректирующего коэффициента К2 в отношении розничной торговли, осуществляемой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и в отношении розничной торговли, осуществляемой в объектах стационарной торговой сети, а также в объектах нестационарной торговой сети, площадь торгового места в которых превышает 5 квадратных метров, рассчитывается по следующей формуле:".</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2.3. Абзац 1 пункта 8 после слов "оказания услуг общественного питания, осуществляемых через объекты организации общественного питания" дополнить словами "(за исключением оказания услуг общественного питания учреждениями образования, здравоохранения и социального обеспечения)".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2.4. В пункте 12 по всему тексту слова "спальных помещений" заменить словами "помещений для временного размещения и проживания".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2.5. Пункт 13 изложить в редакции:</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"13. Для вида предпринимательской деятельности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 корректирующий коэффициент базовой доходности К2 устанавливается в размере 0,6.".</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2.6. Дополнить новым пунктом 14 следующего содержания:</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"14. Для вида предпринимательской деятельности "оказание услуг по передаче во временное владение и(или)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 корректирующий коэффициент базовой доходности К2 устанавливается в размере 0,4.".</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2.7. Пункт 16 исключить.</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2.8. Пункты 14-15 считать соответственно пунктами 15-16.</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3. Контроль за исполнением настоящего решения возложить на финансово-бюджетную комиссию (Вылеток И.Б.).</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4. Опубликовать данное решение в газете "Новая газета-1".</w:t>
      </w:r>
    </w:p>
    <w:p w:rsidR="007961F7" w:rsidRPr="000C4C9E" w:rsidRDefault="007961F7" w:rsidP="000C4C9E">
      <w:pPr>
        <w:pStyle w:val="ConsPlusNormal"/>
        <w:ind w:firstLine="540"/>
        <w:jc w:val="both"/>
        <w:rPr>
          <w:rFonts w:ascii="Times New Roman" w:hAnsi="Times New Roman" w:cs="Times New Roman"/>
          <w:color w:val="000000"/>
        </w:rPr>
      </w:pPr>
      <w:r w:rsidRPr="000C4C9E">
        <w:rPr>
          <w:rFonts w:ascii="Times New Roman" w:hAnsi="Times New Roman" w:cs="Times New Roman"/>
          <w:color w:val="000000"/>
        </w:rPr>
        <w:t>5. Настоящее решение вступает в силу с 1 января 2008 года, но не ранее чем по истечении одного месяца со дня его официального опубликования.</w:t>
      </w:r>
    </w:p>
    <w:p w:rsidR="007961F7" w:rsidRPr="00982D27" w:rsidRDefault="007961F7">
      <w:pPr>
        <w:pStyle w:val="ConsPlusNormal"/>
        <w:ind w:firstLine="540"/>
        <w:jc w:val="both"/>
        <w:rPr>
          <w:rFonts w:ascii="Times New Roman" w:hAnsi="Times New Roman" w:cs="Times New Roman"/>
          <w:color w:val="000000"/>
        </w:rPr>
      </w:pPr>
    </w:p>
    <w:p w:rsidR="007961F7" w:rsidRDefault="007961F7">
      <w:pPr>
        <w:pStyle w:val="ConsPlusNormal"/>
        <w:jc w:val="right"/>
        <w:rPr>
          <w:rFonts w:ascii="Times New Roman" w:hAnsi="Times New Roman" w:cs="Times New Roman"/>
          <w:i/>
          <w:color w:val="000000"/>
          <w:lang w:val="en-US"/>
        </w:rPr>
      </w:pPr>
      <w:r w:rsidRPr="00DA1A1D">
        <w:rPr>
          <w:rFonts w:ascii="Times New Roman" w:hAnsi="Times New Roman" w:cs="Times New Roman"/>
          <w:i/>
          <w:color w:val="000000"/>
        </w:rPr>
        <w:t xml:space="preserve">Глава </w:t>
      </w:r>
    </w:p>
    <w:p w:rsidR="007961F7" w:rsidRPr="00DA1A1D" w:rsidRDefault="007961F7">
      <w:pPr>
        <w:pStyle w:val="ConsPlusNormal"/>
        <w:jc w:val="right"/>
        <w:rPr>
          <w:rFonts w:ascii="Times New Roman" w:hAnsi="Times New Roman" w:cs="Times New Roman"/>
          <w:i/>
          <w:color w:val="000000"/>
        </w:rPr>
      </w:pPr>
      <w:r w:rsidRPr="00DA1A1D">
        <w:rPr>
          <w:rFonts w:ascii="Times New Roman" w:hAnsi="Times New Roman" w:cs="Times New Roman"/>
          <w:i/>
          <w:color w:val="000000"/>
        </w:rPr>
        <w:t>города</w:t>
      </w:r>
    </w:p>
    <w:p w:rsidR="007961F7" w:rsidRPr="00DA1A1D" w:rsidRDefault="007961F7">
      <w:pPr>
        <w:pStyle w:val="ConsPlusNormal"/>
        <w:jc w:val="right"/>
        <w:rPr>
          <w:rFonts w:ascii="Times New Roman" w:hAnsi="Times New Roman" w:cs="Times New Roman"/>
          <w:i/>
          <w:color w:val="000000"/>
        </w:rPr>
      </w:pPr>
      <w:r w:rsidRPr="00DA1A1D">
        <w:rPr>
          <w:rFonts w:ascii="Times New Roman" w:hAnsi="Times New Roman" w:cs="Times New Roman"/>
          <w:i/>
          <w:color w:val="000000"/>
        </w:rPr>
        <w:t>А.В.МОТОВИЛОВ</w:t>
      </w:r>
    </w:p>
    <w:p w:rsidR="007961F7" w:rsidRPr="00982D27" w:rsidRDefault="007961F7">
      <w:pPr>
        <w:pStyle w:val="ConsPlusNormal"/>
        <w:ind w:firstLine="540"/>
        <w:jc w:val="both"/>
        <w:rPr>
          <w:rFonts w:ascii="Times New Roman" w:hAnsi="Times New Roman" w:cs="Times New Roman"/>
          <w:color w:val="000000"/>
        </w:rPr>
      </w:pPr>
    </w:p>
    <w:p w:rsidR="007961F7" w:rsidRPr="00982D27" w:rsidRDefault="007961F7">
      <w:pPr>
        <w:pStyle w:val="ConsPlusNormal"/>
        <w:ind w:firstLine="540"/>
        <w:jc w:val="both"/>
        <w:rPr>
          <w:rFonts w:ascii="Times New Roman" w:hAnsi="Times New Roman" w:cs="Times New Roman"/>
          <w:color w:val="000000"/>
        </w:rPr>
      </w:pPr>
    </w:p>
    <w:sectPr w:rsidR="007961F7" w:rsidRPr="00982D27" w:rsidSect="007367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CE1"/>
    <w:rsid w:val="0003419F"/>
    <w:rsid w:val="000C4C9E"/>
    <w:rsid w:val="00181054"/>
    <w:rsid w:val="001D585F"/>
    <w:rsid w:val="00206976"/>
    <w:rsid w:val="002F2FB1"/>
    <w:rsid w:val="00380CD2"/>
    <w:rsid w:val="003D061D"/>
    <w:rsid w:val="00532BE8"/>
    <w:rsid w:val="00551225"/>
    <w:rsid w:val="00586963"/>
    <w:rsid w:val="00651E01"/>
    <w:rsid w:val="006836AE"/>
    <w:rsid w:val="00736771"/>
    <w:rsid w:val="00780078"/>
    <w:rsid w:val="007961F7"/>
    <w:rsid w:val="007C7B11"/>
    <w:rsid w:val="00982D27"/>
    <w:rsid w:val="009A681B"/>
    <w:rsid w:val="00C50CE1"/>
    <w:rsid w:val="00CA0C94"/>
    <w:rsid w:val="00DA1A1D"/>
    <w:rsid w:val="00EA20AC"/>
    <w:rsid w:val="00EF08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50CE1"/>
    <w:pPr>
      <w:widowControl w:val="0"/>
      <w:autoSpaceDE w:val="0"/>
      <w:autoSpaceDN w:val="0"/>
    </w:pPr>
    <w:rPr>
      <w:rFonts w:eastAsia="Times New Roman" w:cs="Calibri"/>
      <w:szCs w:val="20"/>
    </w:rPr>
  </w:style>
  <w:style w:type="paragraph" w:customStyle="1" w:styleId="ConsPlusNonformat">
    <w:name w:val="ConsPlusNonformat"/>
    <w:uiPriority w:val="99"/>
    <w:rsid w:val="00C50CE1"/>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50CE1"/>
    <w:pPr>
      <w:widowControl w:val="0"/>
      <w:autoSpaceDE w:val="0"/>
      <w:autoSpaceDN w:val="0"/>
    </w:pPr>
    <w:rPr>
      <w:rFonts w:eastAsia="Times New Roman" w:cs="Calibri"/>
      <w:b/>
      <w:szCs w:val="20"/>
    </w:rPr>
  </w:style>
  <w:style w:type="paragraph" w:customStyle="1" w:styleId="ConsPlusTitlePage">
    <w:name w:val="ConsPlusTitlePage"/>
    <w:uiPriority w:val="99"/>
    <w:rsid w:val="00C50CE1"/>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957</Words>
  <Characters>5461</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8</cp:revision>
  <dcterms:created xsi:type="dcterms:W3CDTF">2016-07-18T05:16:00Z</dcterms:created>
  <dcterms:modified xsi:type="dcterms:W3CDTF">2016-10-28T11:21:00Z</dcterms:modified>
</cp:coreProperties>
</file>