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ЗЕМСКОЕ СОБРАНИЕ ДОБРЯНСКОГО МУНИЦИПАЛЬНОГО РАЙОНА</w:t>
      </w:r>
    </w:p>
    <w:p w:rsidR="00C6402B" w:rsidRPr="00147361" w:rsidRDefault="00C6402B">
      <w:pPr>
        <w:pStyle w:val="ConsPlusTitle"/>
        <w:jc w:val="center"/>
        <w:rPr>
          <w:rFonts w:ascii="Times New Roman" w:hAnsi="Times New Roman" w:cs="Times New Roman"/>
        </w:rPr>
      </w:pP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РЕШЕНИЕ</w:t>
      </w: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от 21 ноября 2012 г. N 500</w:t>
      </w:r>
    </w:p>
    <w:p w:rsidR="00C6402B" w:rsidRPr="00147361" w:rsidRDefault="00C6402B">
      <w:pPr>
        <w:pStyle w:val="ConsPlusTitle"/>
        <w:jc w:val="center"/>
        <w:rPr>
          <w:rFonts w:ascii="Times New Roman" w:hAnsi="Times New Roman" w:cs="Times New Roman"/>
        </w:rPr>
      </w:pP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О ВНЕСЕНИИ ИЗМЕНЕНИЙ В РЕШЕНИЕ ЗЕМСКОГО СОБРАНИЯ</w:t>
      </w: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ОТ 12.10.2010 N 1015 "ОБ УТВЕРЖДЕНИИ ПОЛОЖЕНИЯ О СИСТЕМЕ</w:t>
      </w: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НАЛОГООБЛОЖЕНИЯ В ВИДЕ ЕДИНОГО НАЛОГА НА ВМЕНЕННЫЙ ДОХОД</w:t>
      </w: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ДЛЯ ОТДЕЛЬНЫХ ВИДОВ ДЕЯТЕЛЬНОСТИ НА ТЕРРИТОРИИ</w:t>
      </w:r>
    </w:p>
    <w:p w:rsidR="00C6402B" w:rsidRPr="00147361" w:rsidRDefault="00C6402B">
      <w:pPr>
        <w:pStyle w:val="ConsPlusTitle"/>
        <w:jc w:val="center"/>
        <w:rPr>
          <w:rFonts w:ascii="Times New Roman" w:hAnsi="Times New Roman" w:cs="Times New Roman"/>
        </w:rPr>
      </w:pPr>
      <w:r w:rsidRPr="00147361">
        <w:rPr>
          <w:rFonts w:ascii="Times New Roman" w:hAnsi="Times New Roman" w:cs="Times New Roman"/>
        </w:rPr>
        <w:t>ДОБРЯНСКОГО МУНИЦИПАЛЬНОГО РАЙОНА"</w:t>
      </w:r>
    </w:p>
    <w:p w:rsidR="00C6402B" w:rsidRPr="00147361" w:rsidRDefault="00C6402B">
      <w:pPr>
        <w:pStyle w:val="ConsPlusNormal"/>
        <w:ind w:firstLine="540"/>
        <w:jc w:val="both"/>
        <w:rPr>
          <w:rFonts w:ascii="Times New Roman" w:hAnsi="Times New Roman" w:cs="Times New Roman"/>
        </w:rPr>
      </w:pP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В соответствии со статьей 9 Бюджетного кодекса Российской Федерации, Федеральным законом от 25.06.2012 N 94-ФЗ "О внесении изменений в части первую и вторую Налогового кодекса Российской Федерации и отдельные законодательные акты Российской Федерации", статьей 25 Устава Добрянского муниципального района Земское Собрание решает:</w:t>
      </w:r>
    </w:p>
    <w:p w:rsidR="00C6402B" w:rsidRPr="00147361" w:rsidRDefault="00C6402B" w:rsidP="00147361">
      <w:pPr>
        <w:pStyle w:val="ConsPlusNormal"/>
        <w:ind w:firstLine="540"/>
        <w:jc w:val="both"/>
        <w:rPr>
          <w:rFonts w:ascii="Times New Roman" w:hAnsi="Times New Roman" w:cs="Times New Roman"/>
        </w:rPr>
      </w:pP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 Внести в решение Земского Собрания от 12.10.2010 N 1015 "Об утверждении Положения о системе налогообложения в виде единого налога на вмененный доход для отдельных видов деятельности на территории Добрянского муниципального района" (далее - Положение) следующие изменения:</w:t>
      </w: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1.1. Раздел 3 Положения дополнить пунктами 2, 3 следующего содержания:</w:t>
      </w: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"2. Если в объекте розничной торговли осуществляется продажа нескольких групп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w:t>
      </w: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3. В случае отсутствия значений корректирующего коэффициента К2 для каких-либо видов предпринимательской деятельности, предусмотренного таблицей 1, значение этого коэффициента принимается равным 1".</w:t>
      </w: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 Внести в таблицу 1 раздела 3 Положения следующие изменения:</w:t>
      </w:r>
    </w:p>
    <w:p w:rsidR="00C6402B"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1.2.1. Дополнить таблицу строкой 1.14 следующего содержания:</w:t>
      </w:r>
    </w:p>
    <w:p w:rsidR="00C6402B" w:rsidRPr="00147361" w:rsidRDefault="00C6402B" w:rsidP="00147361">
      <w:pPr>
        <w:pStyle w:val="ConsPlusNormal"/>
        <w:ind w:firstLine="540"/>
        <w:jc w:val="both"/>
        <w:rPr>
          <w:rFonts w:ascii="Times New Roman" w:hAnsi="Times New Roman" w:cs="Times New Roman"/>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90"/>
        <w:gridCol w:w="854"/>
        <w:gridCol w:w="854"/>
        <w:gridCol w:w="854"/>
        <w:gridCol w:w="854"/>
        <w:gridCol w:w="854"/>
      </w:tblGrid>
      <w:tr w:rsidR="00C6402B" w:rsidRPr="00147361">
        <w:trPr>
          <w:trHeight w:val="227"/>
        </w:trPr>
        <w:tc>
          <w:tcPr>
            <w:tcW w:w="5490"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1.14. Другие бытовые услуги                </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1,000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1,000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1,000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1,000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1,000</w:t>
            </w:r>
          </w:p>
        </w:tc>
      </w:tr>
    </w:tbl>
    <w:p w:rsidR="00C6402B" w:rsidRPr="00147361" w:rsidRDefault="00C6402B">
      <w:pPr>
        <w:pStyle w:val="ConsPlusNormal"/>
        <w:ind w:firstLine="540"/>
        <w:jc w:val="both"/>
        <w:rPr>
          <w:rFonts w:ascii="Times New Roman" w:hAnsi="Times New Roman" w:cs="Times New Roman"/>
        </w:rPr>
      </w:pPr>
    </w:p>
    <w:p w:rsidR="00C6402B" w:rsidRDefault="00C6402B">
      <w:pPr>
        <w:pStyle w:val="ConsPlusNormal"/>
        <w:ind w:firstLine="540"/>
        <w:jc w:val="both"/>
        <w:rPr>
          <w:rFonts w:ascii="Times New Roman" w:hAnsi="Times New Roman" w:cs="Times New Roman"/>
        </w:rPr>
      </w:pPr>
      <w:r w:rsidRPr="00147361">
        <w:rPr>
          <w:rFonts w:ascii="Times New Roman" w:hAnsi="Times New Roman" w:cs="Times New Roman"/>
        </w:rPr>
        <w:t>1.2.2. Строку 3 "Оказание услуг по ремонту, техническому обслуживанию и мойке автотранспортных средств" таблицы изложить в следующей редакции:</w:t>
      </w:r>
    </w:p>
    <w:p w:rsidR="00C6402B" w:rsidRPr="00147361" w:rsidRDefault="00C6402B">
      <w:pPr>
        <w:pStyle w:val="ConsPlusNormal"/>
        <w:ind w:firstLine="540"/>
        <w:jc w:val="both"/>
        <w:rPr>
          <w:rFonts w:ascii="Times New Roman" w:hAnsi="Times New Roman" w:cs="Times New Roman"/>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90"/>
        <w:gridCol w:w="3782"/>
      </w:tblGrid>
      <w:tr w:rsidR="00C6402B" w:rsidRPr="00147361">
        <w:trPr>
          <w:trHeight w:val="227"/>
        </w:trPr>
        <w:tc>
          <w:tcPr>
            <w:tcW w:w="5490"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3. Оказание услуг по ремонту, техническому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обслуживанию и мойке автомототранспортных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средств и проведению технического осмотра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автомототранспортных средств               </w:t>
            </w:r>
          </w:p>
        </w:tc>
        <w:tc>
          <w:tcPr>
            <w:tcW w:w="3782"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            0,400            </w:t>
            </w:r>
          </w:p>
        </w:tc>
      </w:tr>
    </w:tbl>
    <w:p w:rsidR="00C6402B" w:rsidRPr="00147361" w:rsidRDefault="00C6402B">
      <w:pPr>
        <w:pStyle w:val="ConsPlusNormal"/>
        <w:ind w:firstLine="540"/>
        <w:jc w:val="both"/>
        <w:rPr>
          <w:rFonts w:ascii="Times New Roman" w:hAnsi="Times New Roman" w:cs="Times New Roman"/>
        </w:rPr>
      </w:pP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1.2.3. В строке 4 таблицы слово "автотранспортных" заменить на слово "автомототранспортных".</w:t>
      </w:r>
    </w:p>
    <w:p w:rsidR="00C6402B"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1.2.4. Строку 7 таблицы изложить в следующей редакции:</w:t>
      </w:r>
    </w:p>
    <w:p w:rsidR="00C6402B" w:rsidRPr="00147361" w:rsidRDefault="00C6402B" w:rsidP="00147361">
      <w:pPr>
        <w:pStyle w:val="ConsPlusNormal"/>
        <w:ind w:firstLine="540"/>
        <w:jc w:val="both"/>
        <w:rPr>
          <w:rFonts w:ascii="Times New Roman" w:hAnsi="Times New Roman" w:cs="Times New Roman"/>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90"/>
        <w:gridCol w:w="3782"/>
      </w:tblGrid>
      <w:tr w:rsidR="00C6402B" w:rsidRPr="00147361">
        <w:trPr>
          <w:trHeight w:val="227"/>
        </w:trPr>
        <w:tc>
          <w:tcPr>
            <w:tcW w:w="5490"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7. Розничная торговля, осуществляемая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через объекты стационарной торговой сети,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не имеющие торговых залов, а также через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объекты нестационарной торговой сети       </w:t>
            </w:r>
          </w:p>
        </w:tc>
        <w:tc>
          <w:tcPr>
            <w:tcW w:w="3782" w:type="dxa"/>
          </w:tcPr>
          <w:p w:rsidR="00C6402B" w:rsidRPr="00147361" w:rsidRDefault="00C6402B">
            <w:pPr>
              <w:pStyle w:val="ConsPlusNonformat"/>
              <w:rPr>
                <w:rFonts w:ascii="Times New Roman" w:hAnsi="Times New Roman" w:cs="Times New Roman"/>
              </w:rPr>
            </w:pPr>
          </w:p>
        </w:tc>
      </w:tr>
    </w:tbl>
    <w:p w:rsidR="00C6402B" w:rsidRPr="00147361" w:rsidRDefault="00C6402B" w:rsidP="00147361">
      <w:pPr>
        <w:pStyle w:val="ConsPlusNormal"/>
        <w:ind w:firstLine="540"/>
        <w:jc w:val="both"/>
        <w:rPr>
          <w:rFonts w:ascii="Times New Roman" w:hAnsi="Times New Roman" w:cs="Times New Roman"/>
        </w:rPr>
      </w:pPr>
    </w:p>
    <w:p w:rsidR="00C6402B"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1.2.5. Строки 7.6.1 и 7.6.2 таблицы изложить в следующей редакции:</w:t>
      </w:r>
    </w:p>
    <w:p w:rsidR="00C6402B" w:rsidRPr="00147361" w:rsidRDefault="00C6402B" w:rsidP="00147361">
      <w:pPr>
        <w:pStyle w:val="ConsPlusNormal"/>
        <w:ind w:firstLine="540"/>
        <w:jc w:val="both"/>
        <w:rPr>
          <w:rFonts w:ascii="Times New Roman" w:hAnsi="Times New Roman" w:cs="Times New Roman"/>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90"/>
        <w:gridCol w:w="854"/>
        <w:gridCol w:w="854"/>
        <w:gridCol w:w="854"/>
        <w:gridCol w:w="854"/>
        <w:gridCol w:w="854"/>
      </w:tblGrid>
      <w:tr w:rsidR="00C6402B" w:rsidRPr="00147361">
        <w:trPr>
          <w:trHeight w:val="227"/>
        </w:trPr>
        <w:tc>
          <w:tcPr>
            <w:tcW w:w="5490"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7.6.1. объекты стационарной торговой сети  </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0,540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0,510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0,070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0,050</w:t>
            </w:r>
          </w:p>
        </w:tc>
        <w:tc>
          <w:tcPr>
            <w:tcW w:w="854"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0,010</w:t>
            </w:r>
          </w:p>
        </w:tc>
      </w:tr>
      <w:tr w:rsidR="00C6402B" w:rsidRPr="00147361">
        <w:trPr>
          <w:trHeight w:val="227"/>
        </w:trPr>
        <w:tc>
          <w:tcPr>
            <w:tcW w:w="5490"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7.6.2. объекты нестационарной торговой сети</w:t>
            </w:r>
          </w:p>
        </w:tc>
        <w:tc>
          <w:tcPr>
            <w:tcW w:w="854"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0,360</w:t>
            </w:r>
          </w:p>
        </w:tc>
        <w:tc>
          <w:tcPr>
            <w:tcW w:w="854"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0,330</w:t>
            </w:r>
          </w:p>
        </w:tc>
        <w:tc>
          <w:tcPr>
            <w:tcW w:w="854"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0,070</w:t>
            </w:r>
          </w:p>
        </w:tc>
        <w:tc>
          <w:tcPr>
            <w:tcW w:w="854"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0,050</w:t>
            </w:r>
          </w:p>
        </w:tc>
        <w:tc>
          <w:tcPr>
            <w:tcW w:w="854" w:type="dxa"/>
            <w:tcBorders>
              <w:top w:val="nil"/>
            </w:tcBorders>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0,010</w:t>
            </w:r>
          </w:p>
        </w:tc>
      </w:tr>
    </w:tbl>
    <w:p w:rsidR="00C6402B" w:rsidRPr="00147361" w:rsidRDefault="00C6402B">
      <w:pPr>
        <w:pStyle w:val="ConsPlusNormal"/>
        <w:ind w:firstLine="540"/>
        <w:jc w:val="both"/>
        <w:rPr>
          <w:rFonts w:ascii="Times New Roman" w:hAnsi="Times New Roman" w:cs="Times New Roman"/>
        </w:rPr>
      </w:pP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1.2.6. Строку 8.6 таблицы исключить.</w:t>
      </w:r>
    </w:p>
    <w:p w:rsidR="00C6402B" w:rsidRPr="00147361"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1.2.7. Строку 8.7 таблицы считать строкой 8.6.</w:t>
      </w:r>
    </w:p>
    <w:p w:rsidR="00C6402B" w:rsidRDefault="00C6402B" w:rsidP="00147361">
      <w:pPr>
        <w:pStyle w:val="ConsPlusNormal"/>
        <w:ind w:firstLine="540"/>
        <w:jc w:val="both"/>
        <w:rPr>
          <w:rFonts w:ascii="Times New Roman" w:hAnsi="Times New Roman" w:cs="Times New Roman"/>
        </w:rPr>
      </w:pPr>
      <w:r w:rsidRPr="00147361">
        <w:rPr>
          <w:rFonts w:ascii="Times New Roman" w:hAnsi="Times New Roman" w:cs="Times New Roman"/>
        </w:rPr>
        <w:t>1.2.8. Строку 11 таблицы изложить в следующей редакции:</w:t>
      </w:r>
    </w:p>
    <w:p w:rsidR="00C6402B" w:rsidRPr="00147361" w:rsidRDefault="00C6402B" w:rsidP="00147361">
      <w:pPr>
        <w:pStyle w:val="ConsPlusNormal"/>
        <w:ind w:firstLine="540"/>
        <w:jc w:val="both"/>
        <w:rPr>
          <w:rFonts w:ascii="Times New Roman" w:hAnsi="Times New Roman" w:cs="Times New Roman"/>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490"/>
        <w:gridCol w:w="3782"/>
      </w:tblGrid>
      <w:tr w:rsidR="00C6402B" w:rsidRPr="00147361">
        <w:trPr>
          <w:trHeight w:val="227"/>
        </w:trPr>
        <w:tc>
          <w:tcPr>
            <w:tcW w:w="5490"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11. Размещение наружной рекламы на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транспортных средствах с использованием    </w:t>
            </w:r>
          </w:p>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внутренних и внешних поверхностей          </w:t>
            </w:r>
          </w:p>
        </w:tc>
        <w:tc>
          <w:tcPr>
            <w:tcW w:w="3782" w:type="dxa"/>
          </w:tcPr>
          <w:p w:rsidR="00C6402B" w:rsidRPr="00147361" w:rsidRDefault="00C6402B">
            <w:pPr>
              <w:pStyle w:val="ConsPlusNonformat"/>
              <w:rPr>
                <w:rFonts w:ascii="Times New Roman" w:hAnsi="Times New Roman" w:cs="Times New Roman"/>
              </w:rPr>
            </w:pPr>
            <w:r w:rsidRPr="00147361">
              <w:rPr>
                <w:rFonts w:ascii="Times New Roman" w:hAnsi="Times New Roman" w:cs="Times New Roman"/>
              </w:rPr>
              <w:t xml:space="preserve">            0,070            </w:t>
            </w:r>
          </w:p>
        </w:tc>
      </w:tr>
    </w:tbl>
    <w:p w:rsidR="00C6402B" w:rsidRPr="00147361" w:rsidRDefault="00C6402B">
      <w:pPr>
        <w:pStyle w:val="ConsPlusNormal"/>
        <w:ind w:firstLine="540"/>
        <w:jc w:val="both"/>
        <w:rPr>
          <w:rFonts w:ascii="Times New Roman" w:hAnsi="Times New Roman" w:cs="Times New Roman"/>
        </w:rPr>
      </w:pPr>
    </w:p>
    <w:p w:rsidR="00C6402B" w:rsidRPr="00147361" w:rsidRDefault="00C6402B">
      <w:pPr>
        <w:pStyle w:val="ConsPlusNormal"/>
        <w:ind w:firstLine="540"/>
        <w:jc w:val="both"/>
        <w:rPr>
          <w:rFonts w:ascii="Times New Roman" w:hAnsi="Times New Roman" w:cs="Times New Roman"/>
        </w:rPr>
      </w:pPr>
      <w:r w:rsidRPr="00147361">
        <w:rPr>
          <w:rFonts w:ascii="Times New Roman" w:hAnsi="Times New Roman" w:cs="Times New Roman"/>
        </w:rPr>
        <w:t>2. Настоящее решение вступает в силу с 1 января 2013 года.</w:t>
      </w:r>
    </w:p>
    <w:p w:rsidR="00C6402B" w:rsidRPr="00147361" w:rsidRDefault="00C6402B">
      <w:pPr>
        <w:pStyle w:val="ConsPlusNormal"/>
        <w:ind w:firstLine="540"/>
        <w:jc w:val="both"/>
        <w:rPr>
          <w:rFonts w:ascii="Times New Roman" w:hAnsi="Times New Roman" w:cs="Times New Roman"/>
        </w:rPr>
      </w:pPr>
      <w:r w:rsidRPr="00147361">
        <w:rPr>
          <w:rFonts w:ascii="Times New Roman" w:hAnsi="Times New Roman" w:cs="Times New Roman"/>
        </w:rPr>
        <w:t>3. Опубликовать решение в газете Добрянского муниципального района "Камские зори".</w:t>
      </w:r>
    </w:p>
    <w:p w:rsidR="00C6402B" w:rsidRPr="00147361" w:rsidRDefault="00C6402B">
      <w:pPr>
        <w:pStyle w:val="ConsPlusNormal"/>
        <w:ind w:firstLine="540"/>
        <w:jc w:val="both"/>
        <w:rPr>
          <w:rFonts w:ascii="Times New Roman" w:hAnsi="Times New Roman" w:cs="Times New Roman"/>
        </w:rPr>
      </w:pPr>
    </w:p>
    <w:p w:rsidR="00C6402B" w:rsidRDefault="00C6402B">
      <w:pPr>
        <w:pStyle w:val="ConsPlusNormal"/>
        <w:jc w:val="right"/>
        <w:rPr>
          <w:rFonts w:ascii="Times New Roman" w:hAnsi="Times New Roman" w:cs="Times New Roman"/>
          <w:i/>
        </w:rPr>
      </w:pPr>
      <w:r w:rsidRPr="00147361">
        <w:rPr>
          <w:rFonts w:ascii="Times New Roman" w:hAnsi="Times New Roman" w:cs="Times New Roman"/>
          <w:i/>
        </w:rPr>
        <w:t>Глава муниципального района -</w:t>
      </w:r>
      <w:r>
        <w:rPr>
          <w:rFonts w:ascii="Times New Roman" w:hAnsi="Times New Roman" w:cs="Times New Roman"/>
          <w:i/>
        </w:rPr>
        <w:t xml:space="preserve"> </w:t>
      </w:r>
      <w:r w:rsidRPr="00147361">
        <w:rPr>
          <w:rFonts w:ascii="Times New Roman" w:hAnsi="Times New Roman" w:cs="Times New Roman"/>
          <w:i/>
        </w:rPr>
        <w:t xml:space="preserve">глава администрации </w:t>
      </w:r>
    </w:p>
    <w:p w:rsidR="00C6402B" w:rsidRPr="00147361" w:rsidRDefault="00C6402B">
      <w:pPr>
        <w:pStyle w:val="ConsPlusNormal"/>
        <w:jc w:val="right"/>
        <w:rPr>
          <w:rFonts w:ascii="Times New Roman" w:hAnsi="Times New Roman" w:cs="Times New Roman"/>
          <w:i/>
        </w:rPr>
      </w:pPr>
      <w:r w:rsidRPr="00147361">
        <w:rPr>
          <w:rFonts w:ascii="Times New Roman" w:hAnsi="Times New Roman" w:cs="Times New Roman"/>
          <w:i/>
        </w:rPr>
        <w:t>Добрянского</w:t>
      </w:r>
      <w:r>
        <w:rPr>
          <w:rFonts w:ascii="Times New Roman" w:hAnsi="Times New Roman" w:cs="Times New Roman"/>
          <w:i/>
        </w:rPr>
        <w:t xml:space="preserve"> </w:t>
      </w:r>
      <w:r w:rsidRPr="00147361">
        <w:rPr>
          <w:rFonts w:ascii="Times New Roman" w:hAnsi="Times New Roman" w:cs="Times New Roman"/>
          <w:i/>
        </w:rPr>
        <w:t>муниципального района</w:t>
      </w:r>
    </w:p>
    <w:p w:rsidR="00C6402B" w:rsidRPr="00147361" w:rsidRDefault="00C6402B">
      <w:pPr>
        <w:pStyle w:val="ConsPlusNormal"/>
        <w:jc w:val="right"/>
        <w:rPr>
          <w:rFonts w:ascii="Times New Roman" w:hAnsi="Times New Roman" w:cs="Times New Roman"/>
          <w:i/>
        </w:rPr>
      </w:pPr>
      <w:r w:rsidRPr="00147361">
        <w:rPr>
          <w:rFonts w:ascii="Times New Roman" w:hAnsi="Times New Roman" w:cs="Times New Roman"/>
          <w:i/>
        </w:rPr>
        <w:t>К.В.ЛЫЗОВ</w:t>
      </w:r>
    </w:p>
    <w:p w:rsidR="00C6402B" w:rsidRPr="00147361" w:rsidRDefault="00C6402B">
      <w:pPr>
        <w:pStyle w:val="ConsPlusNormal"/>
        <w:jc w:val="right"/>
        <w:rPr>
          <w:rFonts w:ascii="Times New Roman" w:hAnsi="Times New Roman" w:cs="Times New Roman"/>
          <w:i/>
        </w:rPr>
      </w:pPr>
    </w:p>
    <w:p w:rsidR="00C6402B" w:rsidRPr="00147361" w:rsidRDefault="00C6402B">
      <w:pPr>
        <w:pStyle w:val="ConsPlusNormal"/>
        <w:jc w:val="right"/>
        <w:rPr>
          <w:rFonts w:ascii="Times New Roman" w:hAnsi="Times New Roman" w:cs="Times New Roman"/>
          <w:i/>
        </w:rPr>
      </w:pPr>
      <w:r w:rsidRPr="00147361">
        <w:rPr>
          <w:rFonts w:ascii="Times New Roman" w:hAnsi="Times New Roman" w:cs="Times New Roman"/>
          <w:i/>
        </w:rPr>
        <w:t>Председатель Земского Собрания</w:t>
      </w:r>
    </w:p>
    <w:p w:rsidR="00C6402B" w:rsidRPr="00147361" w:rsidRDefault="00C6402B">
      <w:pPr>
        <w:pStyle w:val="ConsPlusNormal"/>
        <w:jc w:val="right"/>
        <w:rPr>
          <w:rFonts w:ascii="Times New Roman" w:hAnsi="Times New Roman" w:cs="Times New Roman"/>
          <w:i/>
        </w:rPr>
      </w:pPr>
      <w:r w:rsidRPr="00147361">
        <w:rPr>
          <w:rFonts w:ascii="Times New Roman" w:hAnsi="Times New Roman" w:cs="Times New Roman"/>
          <w:i/>
        </w:rPr>
        <w:t>Добрянского муниципального района</w:t>
      </w:r>
    </w:p>
    <w:p w:rsidR="00C6402B" w:rsidRPr="00147361" w:rsidRDefault="00C6402B">
      <w:pPr>
        <w:pStyle w:val="ConsPlusNormal"/>
        <w:jc w:val="right"/>
        <w:rPr>
          <w:rFonts w:ascii="Times New Roman" w:hAnsi="Times New Roman" w:cs="Times New Roman"/>
        </w:rPr>
      </w:pPr>
      <w:r w:rsidRPr="00147361">
        <w:rPr>
          <w:rFonts w:ascii="Times New Roman" w:hAnsi="Times New Roman" w:cs="Times New Roman"/>
          <w:i/>
        </w:rPr>
        <w:t>А.Н.МАХОВ</w:t>
      </w:r>
    </w:p>
    <w:p w:rsidR="00C6402B" w:rsidRPr="00147361" w:rsidRDefault="00C6402B">
      <w:pPr>
        <w:pStyle w:val="ConsPlusNormal"/>
        <w:ind w:firstLine="540"/>
        <w:jc w:val="both"/>
        <w:rPr>
          <w:rFonts w:ascii="Times New Roman" w:hAnsi="Times New Roman" w:cs="Times New Roman"/>
        </w:rPr>
      </w:pPr>
      <w:bookmarkStart w:id="0" w:name="_GoBack"/>
      <w:bookmarkEnd w:id="0"/>
    </w:p>
    <w:sectPr w:rsidR="00C6402B" w:rsidRPr="00147361" w:rsidSect="009B6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C43"/>
    <w:rsid w:val="00147361"/>
    <w:rsid w:val="00563BF5"/>
    <w:rsid w:val="0063193F"/>
    <w:rsid w:val="006836AE"/>
    <w:rsid w:val="009251B9"/>
    <w:rsid w:val="009A6B00"/>
    <w:rsid w:val="009B6F93"/>
    <w:rsid w:val="009F128F"/>
    <w:rsid w:val="00C22C43"/>
    <w:rsid w:val="00C6402B"/>
    <w:rsid w:val="00CA0C94"/>
    <w:rsid w:val="00D02F17"/>
    <w:rsid w:val="00F2479D"/>
    <w:rsid w:val="00F34C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C22C43"/>
    <w:pPr>
      <w:widowControl w:val="0"/>
      <w:autoSpaceDE w:val="0"/>
      <w:autoSpaceDN w:val="0"/>
    </w:pPr>
    <w:rPr>
      <w:rFonts w:eastAsia="Times New Roman" w:cs="Calibri"/>
      <w:szCs w:val="20"/>
    </w:rPr>
  </w:style>
  <w:style w:type="paragraph" w:customStyle="1" w:styleId="ConsPlusNonformat">
    <w:name w:val="ConsPlusNonformat"/>
    <w:uiPriority w:val="99"/>
    <w:rsid w:val="00C22C43"/>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22C43"/>
    <w:pPr>
      <w:widowControl w:val="0"/>
      <w:autoSpaceDE w:val="0"/>
      <w:autoSpaceDN w:val="0"/>
    </w:pPr>
    <w:rPr>
      <w:rFonts w:eastAsia="Times New Roman" w:cs="Calibri"/>
      <w:b/>
      <w:szCs w:val="20"/>
    </w:rPr>
  </w:style>
  <w:style w:type="paragraph" w:customStyle="1" w:styleId="ConsPlusTitlePage">
    <w:name w:val="ConsPlusTitlePage"/>
    <w:uiPriority w:val="99"/>
    <w:rsid w:val="00C22C43"/>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507</Words>
  <Characters>2894</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4</cp:revision>
  <dcterms:created xsi:type="dcterms:W3CDTF">2016-07-18T06:28:00Z</dcterms:created>
  <dcterms:modified xsi:type="dcterms:W3CDTF">2016-10-28T06:49:00Z</dcterms:modified>
</cp:coreProperties>
</file>