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ЗЕМСКОЕ СОБРАНИЕ ГРЕМЯЧИНСКОГО МУНИЦИПАЛЬНОГО РАЙОНА</w:t>
      </w:r>
    </w:p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</w:p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РЕШЕНИЕ</w:t>
      </w:r>
    </w:p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от 25 ноября 2014 г. N 508</w:t>
      </w:r>
    </w:p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</w:p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О ВНЕСЕНИИ ИЗМЕНЕНИЙ В РЕШЕНИЕ ЗЕМСКОГО СОБРАНИЯ</w:t>
      </w:r>
    </w:p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ОТ 31.10.2014 N 498 "О ПРИМЕНЕНИИ СИСТЕМЫ НАЛОГООБЛОЖЕНИЯ</w:t>
      </w:r>
    </w:p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В ВИДЕ ЕДИНОГО НАЛОГА НА ВМЕНЕННЫЙ ДОХОД ДЛЯ ОТДЕЛЬНЫХ ВИДОВ</w:t>
      </w:r>
    </w:p>
    <w:p w:rsidR="005D1E3F" w:rsidRPr="00082CC5" w:rsidRDefault="005D1E3F">
      <w:pPr>
        <w:pStyle w:val="ConsPlusTitle"/>
        <w:jc w:val="center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ДЕЯТЕЛЬНОСТИ НА 2015 ГОД"</w:t>
      </w:r>
    </w:p>
    <w:p w:rsidR="005D1E3F" w:rsidRPr="00082CC5" w:rsidRDefault="005D1E3F">
      <w:pPr>
        <w:pStyle w:val="ConsPlusNormal"/>
        <w:jc w:val="both"/>
        <w:rPr>
          <w:rFonts w:ascii="Times New Roman" w:hAnsi="Times New Roman" w:cs="Times New Roman"/>
        </w:rPr>
      </w:pP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В соответствии с главой 26.3 Налогового кодекса Российской Федерации Земское Собрание решает:</w:t>
      </w: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1. Внести изменения в приложение 1 к решению Земского Собрания от 31.10.2014 N 498 "О применении системы налогообложения в виде единого налога на вмененный доход для отдельных видов деятельности на 2015 год" следующее изменение:</w:t>
      </w:r>
    </w:p>
    <w:p w:rsidR="005D1E3F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1.1. пункт 10 таблицы изложить в следующей редакции:</w:t>
      </w: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2268"/>
        <w:gridCol w:w="1361"/>
      </w:tblGrid>
      <w:tr w:rsidR="005D1E3F" w:rsidRPr="00082CC5">
        <w:tc>
          <w:tcPr>
            <w:tcW w:w="5953" w:type="dxa"/>
          </w:tcPr>
          <w:p w:rsidR="005D1E3F" w:rsidRPr="00082CC5" w:rsidRDefault="005D1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2268" w:type="dxa"/>
          </w:tcPr>
          <w:p w:rsidR="005D1E3F" w:rsidRPr="00082CC5" w:rsidRDefault="005D1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Физические показатели</w:t>
            </w:r>
          </w:p>
        </w:tc>
        <w:tc>
          <w:tcPr>
            <w:tcW w:w="1361" w:type="dxa"/>
          </w:tcPr>
          <w:p w:rsidR="005D1E3F" w:rsidRPr="00082CC5" w:rsidRDefault="005D1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5D1E3F" w:rsidRPr="00082CC5">
        <w:tc>
          <w:tcPr>
            <w:tcW w:w="5953" w:type="dxa"/>
          </w:tcPr>
          <w:p w:rsidR="005D1E3F" w:rsidRPr="00082CC5" w:rsidRDefault="005D1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D1E3F" w:rsidRPr="00082CC5" w:rsidRDefault="005D1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5D1E3F" w:rsidRPr="00082CC5" w:rsidRDefault="005D1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3</w:t>
            </w:r>
          </w:p>
        </w:tc>
      </w:tr>
      <w:tr w:rsidR="005D1E3F" w:rsidRPr="00082CC5">
        <w:tc>
          <w:tcPr>
            <w:tcW w:w="5953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68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1E3F" w:rsidRPr="00082CC5">
        <w:tc>
          <w:tcPr>
            <w:tcW w:w="5953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10.1. торговля изделиями из драгоценных металлов и драгоценных камней</w:t>
            </w:r>
          </w:p>
        </w:tc>
        <w:tc>
          <w:tcPr>
            <w:tcW w:w="2268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Площадь торгового места (в квадратных метрах)</w:t>
            </w:r>
          </w:p>
        </w:tc>
        <w:tc>
          <w:tcPr>
            <w:tcW w:w="1361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1,0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10.2. торговля подакцизными товарами (алкогольная продукция, пиво, табачная продукция), изделиями из натурального меха, натуральной кожи, культтоварами (бытовая радиоэлектронная аппаратура, радиоприемная аппаратура, аппаратура для воспроизведения звука и изображения, телеприемная аппаратура, звукоусилительная аппаратура, комбинированная аппаратура, музыкальные центры, магнитолы, комплектующие изделия, фотокинотовары, музыкальные товары), сотовые телефоны, средства оргтехники: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Площадь торгового места (в квадратных метрах)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до 6 кв. м включительно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0,9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6 до 50 кв. м включительно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0,85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50 до 100 кв. м включительно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0,8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100 до 150 кв. м включительно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0,75</w:t>
            </w:r>
          </w:p>
        </w:tc>
      </w:tr>
      <w:tr w:rsidR="005D1E3F" w:rsidRPr="00082CC5">
        <w:tc>
          <w:tcPr>
            <w:tcW w:w="5953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10.3. торговля лекарственными средствами, изделиями медицинского назначения</w:t>
            </w:r>
          </w:p>
        </w:tc>
        <w:tc>
          <w:tcPr>
            <w:tcW w:w="2268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Площадь торгового места (в квадратных метрах)</w:t>
            </w:r>
          </w:p>
        </w:tc>
        <w:tc>
          <w:tcPr>
            <w:tcW w:w="1361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0,7</w:t>
            </w:r>
          </w:p>
        </w:tc>
      </w:tr>
      <w:tr w:rsidR="005D1E3F" w:rsidRPr="00082CC5">
        <w:tc>
          <w:tcPr>
            <w:tcW w:w="5953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10.4. торговля товарами, бывшими в употреблении</w:t>
            </w:r>
          </w:p>
        </w:tc>
        <w:tc>
          <w:tcPr>
            <w:tcW w:w="2268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Площадь торгового места (в квадратных метрах)</w:t>
            </w:r>
          </w:p>
        </w:tc>
        <w:tc>
          <w:tcPr>
            <w:tcW w:w="1361" w:type="dxa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0,2</w:t>
            </w:r>
          </w:p>
        </w:tc>
      </w:tr>
      <w:tr w:rsidR="005D1E3F" w:rsidRPr="00082CC5">
        <w:tc>
          <w:tcPr>
            <w:tcW w:w="5953" w:type="dxa"/>
            <w:tcBorders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10.5. торговля прочими непродовольственными товарами:</w:t>
            </w:r>
          </w:p>
        </w:tc>
        <w:tc>
          <w:tcPr>
            <w:tcW w:w="2268" w:type="dxa"/>
            <w:vMerge w:val="restart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Площадь торгового места (в квадратных метрах)</w:t>
            </w:r>
          </w:p>
        </w:tc>
        <w:tc>
          <w:tcPr>
            <w:tcW w:w="1361" w:type="dxa"/>
            <w:tcBorders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до 50 кв. м включительно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0,3</w:t>
            </w:r>
          </w:p>
        </w:tc>
      </w:tr>
      <w:tr w:rsidR="005D1E3F" w:rsidRPr="00082CC5">
        <w:tc>
          <w:tcPr>
            <w:tcW w:w="5953" w:type="dxa"/>
            <w:tcBorders>
              <w:top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50 до 150 кв. м включительно</w:t>
            </w:r>
          </w:p>
        </w:tc>
        <w:tc>
          <w:tcPr>
            <w:tcW w:w="2268" w:type="dxa"/>
            <w:vMerge/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0,2</w:t>
            </w:r>
          </w:p>
        </w:tc>
      </w:tr>
      <w:tr w:rsidR="005D1E3F" w:rsidRPr="00082CC5">
        <w:tc>
          <w:tcPr>
            <w:tcW w:w="5953" w:type="dxa"/>
            <w:tcBorders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10.6. торговля продовольственными товарами и подакцизными товарами (пиво, табачная продукция):</w:t>
            </w:r>
          </w:p>
        </w:tc>
        <w:tc>
          <w:tcPr>
            <w:tcW w:w="2268" w:type="dxa"/>
            <w:vMerge w:val="restart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Площадь торгового места (в квадратных метрах)</w:t>
            </w:r>
          </w:p>
        </w:tc>
        <w:tc>
          <w:tcPr>
            <w:tcW w:w="1361" w:type="dxa"/>
            <w:tcBorders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до 6 кв. м включительно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0,7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6 до 50 кв. м включительно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0,6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50 до 100 кв. м включительно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0,5</w:t>
            </w:r>
          </w:p>
        </w:tc>
      </w:tr>
      <w:tr w:rsidR="005D1E3F" w:rsidRPr="00082CC5">
        <w:tc>
          <w:tcPr>
            <w:tcW w:w="5953" w:type="dxa"/>
            <w:tcBorders>
              <w:top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100 до 150 кв. м включительно</w:t>
            </w:r>
          </w:p>
        </w:tc>
        <w:tc>
          <w:tcPr>
            <w:tcW w:w="2268" w:type="dxa"/>
            <w:vMerge/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0,4</w:t>
            </w:r>
          </w:p>
        </w:tc>
      </w:tr>
      <w:tr w:rsidR="005D1E3F" w:rsidRPr="00082CC5">
        <w:tc>
          <w:tcPr>
            <w:tcW w:w="5953" w:type="dxa"/>
            <w:tcBorders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10.7. торговля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</w:tc>
        <w:tc>
          <w:tcPr>
            <w:tcW w:w="2268" w:type="dxa"/>
            <w:vMerge w:val="restart"/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Площадь торгового места (в квадратных метрах)</w:t>
            </w:r>
          </w:p>
        </w:tc>
        <w:tc>
          <w:tcPr>
            <w:tcW w:w="1361" w:type="dxa"/>
            <w:tcBorders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до 6 кв. м включительно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0,6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6 до 50 кв. м включительно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0,5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50 до 100 кв. м включительно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0,4</w:t>
            </w:r>
          </w:p>
        </w:tc>
      </w:tr>
      <w:tr w:rsidR="005D1E3F" w:rsidRPr="00082CC5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- площадь торгового зала от 100 до 150 кв. м включительно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E3F" w:rsidRPr="00082CC5" w:rsidRDefault="005D1E3F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D1E3F" w:rsidRPr="00082CC5" w:rsidRDefault="005D1E3F">
            <w:pPr>
              <w:pStyle w:val="ConsPlusNormal"/>
              <w:rPr>
                <w:rFonts w:ascii="Times New Roman" w:hAnsi="Times New Roman" w:cs="Times New Roman"/>
              </w:rPr>
            </w:pPr>
            <w:r w:rsidRPr="00082CC5">
              <w:rPr>
                <w:rFonts w:ascii="Times New Roman" w:hAnsi="Times New Roman" w:cs="Times New Roman"/>
              </w:rPr>
              <w:t>0,3</w:t>
            </w:r>
          </w:p>
        </w:tc>
      </w:tr>
    </w:tbl>
    <w:p w:rsidR="005D1E3F" w:rsidRPr="00082CC5" w:rsidRDefault="005D1E3F">
      <w:pPr>
        <w:pStyle w:val="ConsPlusNormal"/>
        <w:jc w:val="both"/>
        <w:rPr>
          <w:rFonts w:ascii="Times New Roman" w:hAnsi="Times New Roman" w:cs="Times New Roman"/>
        </w:rPr>
      </w:pP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1.2. абзац первый после таблицы изложить в следующей редакции:</w:t>
      </w: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"Для предпринимательской деятельности по осуществлению розничной торговли, осуществляемой через объекты стационарной торговой сети, имеющие торговых залов (пункты 7.2 (в отношении торговли подакцизными товарами (алкогольная продукция, пиво, табачная продукция), 7.6 и 7.7 таблицы "Значения корректирующего коэффициента базовой доходности (К2)"), 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(пункты 10.2 (в отношении торговли подакцизными товарами (алкогольная продукция, пиво, табачная продукция), 10.6 и 10.7 таблицы "Значения корректирующего коэффициента базовой доходности (К2)"), корректирующий коэффициент базовой доходности К2 устанавливается с учетом следующих значений, учитывающих влияние отдельных факторов на результат предпринимательской деятельности:</w:t>
      </w: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К2 = К2 x К2(1) x К2(2).".</w:t>
      </w: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</w:p>
    <w:p w:rsidR="005D1E3F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  <w:r w:rsidRPr="00082CC5">
        <w:rPr>
          <w:rFonts w:ascii="Times New Roman" w:hAnsi="Times New Roman" w:cs="Times New Roman"/>
        </w:rPr>
        <w:t>2. Решение вступает в силу не ранее чем по истечении 1 месяца со дня его официального опубликования в общественно-политической газете "Шахтер" и не ранее 1 января 2015 года.</w:t>
      </w:r>
    </w:p>
    <w:p w:rsidR="005D1E3F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</w:p>
    <w:p w:rsidR="005D1E3F" w:rsidRPr="00082CC5" w:rsidRDefault="005D1E3F" w:rsidP="00082CC5">
      <w:pPr>
        <w:pStyle w:val="ConsPlusNormal"/>
        <w:jc w:val="both"/>
        <w:rPr>
          <w:rFonts w:ascii="Times New Roman" w:hAnsi="Times New Roman" w:cs="Times New Roman"/>
        </w:rPr>
      </w:pPr>
    </w:p>
    <w:p w:rsidR="005D1E3F" w:rsidRPr="00082CC5" w:rsidRDefault="005D1E3F">
      <w:pPr>
        <w:pStyle w:val="ConsPlusNormal"/>
        <w:jc w:val="right"/>
        <w:rPr>
          <w:rFonts w:ascii="Times New Roman" w:hAnsi="Times New Roman" w:cs="Times New Roman"/>
          <w:i/>
        </w:rPr>
      </w:pPr>
      <w:r w:rsidRPr="00082CC5">
        <w:rPr>
          <w:rFonts w:ascii="Times New Roman" w:hAnsi="Times New Roman" w:cs="Times New Roman"/>
          <w:i/>
        </w:rPr>
        <w:t>Глава Гремячинского</w:t>
      </w:r>
    </w:p>
    <w:p w:rsidR="005D1E3F" w:rsidRPr="00082CC5" w:rsidRDefault="005D1E3F">
      <w:pPr>
        <w:pStyle w:val="ConsPlusNormal"/>
        <w:jc w:val="right"/>
        <w:rPr>
          <w:rFonts w:ascii="Times New Roman" w:hAnsi="Times New Roman" w:cs="Times New Roman"/>
          <w:i/>
        </w:rPr>
      </w:pPr>
      <w:r w:rsidRPr="00082CC5">
        <w:rPr>
          <w:rFonts w:ascii="Times New Roman" w:hAnsi="Times New Roman" w:cs="Times New Roman"/>
          <w:i/>
        </w:rPr>
        <w:t xml:space="preserve"> муниципального района</w:t>
      </w:r>
    </w:p>
    <w:p w:rsidR="005D1E3F" w:rsidRPr="00082CC5" w:rsidRDefault="005D1E3F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r w:rsidRPr="00082CC5">
        <w:rPr>
          <w:rFonts w:ascii="Times New Roman" w:hAnsi="Times New Roman" w:cs="Times New Roman"/>
          <w:i/>
        </w:rPr>
        <w:t>Х.Х.МИНДУБАЕВ</w:t>
      </w:r>
    </w:p>
    <w:bookmarkEnd w:id="0"/>
    <w:p w:rsidR="005D1E3F" w:rsidRDefault="005D1E3F">
      <w:pPr>
        <w:pStyle w:val="ConsPlusNormal"/>
        <w:jc w:val="both"/>
        <w:rPr>
          <w:rFonts w:ascii="Times New Roman" w:hAnsi="Times New Roman" w:cs="Times New Roman"/>
        </w:rPr>
      </w:pPr>
    </w:p>
    <w:p w:rsidR="005D1E3F" w:rsidRPr="00082CC5" w:rsidRDefault="005D1E3F">
      <w:pPr>
        <w:pStyle w:val="ConsPlusNormal"/>
        <w:jc w:val="both"/>
        <w:rPr>
          <w:rFonts w:ascii="Times New Roman" w:hAnsi="Times New Roman" w:cs="Times New Roman"/>
        </w:rPr>
      </w:pPr>
    </w:p>
    <w:sectPr w:rsidR="005D1E3F" w:rsidRPr="00082CC5" w:rsidSect="00BF58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344"/>
    <w:rsid w:val="00082CC5"/>
    <w:rsid w:val="00386344"/>
    <w:rsid w:val="004A386A"/>
    <w:rsid w:val="00532E18"/>
    <w:rsid w:val="005D1E3F"/>
    <w:rsid w:val="0060008E"/>
    <w:rsid w:val="00673FF0"/>
    <w:rsid w:val="006836AE"/>
    <w:rsid w:val="009909C2"/>
    <w:rsid w:val="00BE3467"/>
    <w:rsid w:val="00BF5867"/>
    <w:rsid w:val="00CA0C94"/>
    <w:rsid w:val="00D3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634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8634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38634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659</Words>
  <Characters>3762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2016-07-18T05:49:00Z</dcterms:created>
  <dcterms:modified xsi:type="dcterms:W3CDTF">2016-10-28T11:03:00Z</dcterms:modified>
</cp:coreProperties>
</file>