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C6" w:rsidRPr="00294F4F" w:rsidRDefault="00CF34C6">
      <w:pPr>
        <w:pStyle w:val="ConsPlusTitle"/>
        <w:jc w:val="center"/>
        <w:rPr>
          <w:color w:val="000000"/>
        </w:rPr>
      </w:pPr>
      <w:r w:rsidRPr="00294F4F">
        <w:rPr>
          <w:color w:val="000000"/>
        </w:rPr>
        <w:t>ЗЕМСКОЕ СОБРАНИЕ ОРДИНСКОГО РАЙОНА</w:t>
      </w:r>
    </w:p>
    <w:p w:rsidR="00CF34C6" w:rsidRPr="00294F4F" w:rsidRDefault="00CF34C6">
      <w:pPr>
        <w:pStyle w:val="ConsPlusTitle"/>
        <w:jc w:val="center"/>
        <w:rPr>
          <w:color w:val="000000"/>
        </w:rPr>
      </w:pPr>
    </w:p>
    <w:p w:rsidR="00CF34C6" w:rsidRPr="00294F4F" w:rsidRDefault="00CF34C6">
      <w:pPr>
        <w:pStyle w:val="ConsPlusTitle"/>
        <w:jc w:val="center"/>
        <w:rPr>
          <w:color w:val="000000"/>
        </w:rPr>
      </w:pPr>
      <w:r w:rsidRPr="00294F4F">
        <w:rPr>
          <w:color w:val="000000"/>
        </w:rPr>
        <w:t>РЕШЕНИЕ</w:t>
      </w:r>
    </w:p>
    <w:p w:rsidR="00CF34C6" w:rsidRPr="00294F4F" w:rsidRDefault="00CF34C6">
      <w:pPr>
        <w:pStyle w:val="ConsPlusTitle"/>
        <w:jc w:val="center"/>
        <w:rPr>
          <w:color w:val="000000"/>
        </w:rPr>
      </w:pPr>
      <w:r w:rsidRPr="00294F4F">
        <w:rPr>
          <w:color w:val="000000"/>
        </w:rPr>
        <w:t>от 22 августа 2005 г. N 58</w:t>
      </w:r>
    </w:p>
    <w:p w:rsidR="00CF34C6" w:rsidRPr="00294F4F" w:rsidRDefault="00CF34C6">
      <w:pPr>
        <w:pStyle w:val="ConsPlusTitle"/>
        <w:jc w:val="center"/>
        <w:rPr>
          <w:color w:val="000000"/>
        </w:rPr>
      </w:pPr>
    </w:p>
    <w:p w:rsidR="00CF34C6" w:rsidRPr="00294F4F" w:rsidRDefault="00CF34C6">
      <w:pPr>
        <w:pStyle w:val="ConsPlusTitle"/>
        <w:jc w:val="center"/>
        <w:rPr>
          <w:color w:val="000000"/>
        </w:rPr>
      </w:pPr>
      <w:r w:rsidRPr="00294F4F">
        <w:rPr>
          <w:color w:val="000000"/>
        </w:rPr>
        <w:t>О НАЛОГООБЛОЖЕНИИ НА ТЕРРИТОРИИ ОРДИНСКОГО</w:t>
      </w:r>
    </w:p>
    <w:p w:rsidR="00CF34C6" w:rsidRPr="00294F4F" w:rsidRDefault="00CF34C6">
      <w:pPr>
        <w:pStyle w:val="ConsPlusTitle"/>
        <w:jc w:val="center"/>
        <w:rPr>
          <w:color w:val="000000"/>
        </w:rPr>
      </w:pPr>
      <w:r w:rsidRPr="00294F4F">
        <w:rPr>
          <w:color w:val="000000"/>
        </w:rPr>
        <w:t>МУНИЦИПАЛЬНОГО РАЙОНА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Принято</w:t>
      </w: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Земским Собранием</w:t>
      </w: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Ординского района</w:t>
      </w: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18 августа 2005 года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Список изменяющих документов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(в ред. решения Земского Собрания Ординского района от 24.10.2005 N 76,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решений Земского Собрания Ординского муниципального района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от 24.05.2006 N 27, от 27.11.2006 N 116, от 04.05.2007 N 34,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от 04.12.2007 N 97, от 01.10.2008 N 105, от 23.11.2009 N 91,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от 26.11.2012 N 468, от 29.03.2016 N 158)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В соответствии с Налоговым кодексом Российской Федерации Земское Собрание Ординского района решает: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(в ред. решения Земского Собрания Ординского муниципального района от 27.11.2006 N 116)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1. Утвердить Положение "О налогообложении на территории Ординского муниципального района".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2. Признать утратившими силу с 01.01.2006 следующие решения Земского Собрания: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- "Об утверждении ставок налога на имущество физических лиц" от 27.11.2003 N 36;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- "Об установлении ставок земельного налога в 2005 году" от 23.03.2005 N 25.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3. Комитету имущественных и земельных отношений администрации Ординского района разработать до 31 декабря 2005 года порядок доведения сведений о кадастровой стоимости земельных участков до налогоплательщиков.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4. Контроль за исполнением решения возложить на комиссию по бюджету, налогам и экономической политике.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(п. 4 в ред. решения Земского Собрания Ординского муниципального района от 04.12.2007 N 97)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5. Решение вступает в силу не ранее чем по истечении одного месяца со дня его официального опубликования в районной газете "Верный путь", а пп. 1, 2 - с 1 января 2006 года.</w:t>
      </w:r>
    </w:p>
    <w:p w:rsidR="00CF34C6" w:rsidRPr="008307A2" w:rsidRDefault="00CF34C6" w:rsidP="009860FC">
      <w:pPr>
        <w:pStyle w:val="ConsPlusNormal"/>
        <w:ind w:firstLine="709"/>
        <w:jc w:val="both"/>
        <w:rPr>
          <w:color w:val="000000"/>
        </w:rPr>
      </w:pPr>
      <w:r w:rsidRPr="008307A2">
        <w:rPr>
          <w:color w:val="000000"/>
        </w:rPr>
        <w:t>(п. 5 в ред. решения Земского Собрания Ординского района от 24.10.2005 N 76)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9860FC" w:rsidRDefault="00CF34C6">
      <w:pPr>
        <w:pStyle w:val="ConsPlusNormal"/>
        <w:jc w:val="right"/>
        <w:rPr>
          <w:i/>
          <w:color w:val="000000"/>
        </w:rPr>
      </w:pPr>
      <w:r w:rsidRPr="008307A2">
        <w:rPr>
          <w:i/>
          <w:color w:val="000000"/>
        </w:rPr>
        <w:t xml:space="preserve">Глава </w:t>
      </w:r>
    </w:p>
    <w:p w:rsidR="00CF34C6" w:rsidRPr="008307A2" w:rsidRDefault="00CF34C6">
      <w:pPr>
        <w:pStyle w:val="ConsPlusNormal"/>
        <w:jc w:val="right"/>
        <w:rPr>
          <w:i/>
          <w:color w:val="000000"/>
        </w:rPr>
      </w:pPr>
      <w:r w:rsidRPr="008307A2">
        <w:rPr>
          <w:i/>
          <w:color w:val="000000"/>
        </w:rPr>
        <w:t>Ординского района</w:t>
      </w:r>
    </w:p>
    <w:p w:rsidR="00CF34C6" w:rsidRPr="008307A2" w:rsidRDefault="00CF34C6">
      <w:pPr>
        <w:pStyle w:val="ConsPlusNormal"/>
        <w:jc w:val="right"/>
        <w:rPr>
          <w:i/>
          <w:color w:val="000000"/>
        </w:rPr>
      </w:pPr>
      <w:r w:rsidRPr="008307A2">
        <w:rPr>
          <w:i/>
          <w:color w:val="000000"/>
        </w:rPr>
        <w:t>Н.В.АГЕЕВ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9B6774" w:rsidRDefault="00CF34C6">
      <w:pPr>
        <w:pStyle w:val="ConsPlusNormal"/>
        <w:jc w:val="right"/>
        <w:rPr>
          <w:color w:val="000000"/>
        </w:rPr>
      </w:pPr>
    </w:p>
    <w:p w:rsidR="00CF34C6" w:rsidRPr="009B6774" w:rsidRDefault="00CF34C6">
      <w:pPr>
        <w:pStyle w:val="ConsPlusNormal"/>
        <w:jc w:val="right"/>
        <w:rPr>
          <w:color w:val="000000"/>
        </w:rPr>
      </w:pPr>
    </w:p>
    <w:p w:rsidR="00CF34C6" w:rsidRPr="009B6774" w:rsidRDefault="00CF34C6">
      <w:pPr>
        <w:pStyle w:val="ConsPlusNormal"/>
        <w:jc w:val="right"/>
        <w:rPr>
          <w:color w:val="000000"/>
        </w:rPr>
      </w:pPr>
    </w:p>
    <w:p w:rsidR="00CF34C6" w:rsidRPr="009B6774" w:rsidRDefault="00CF34C6">
      <w:pPr>
        <w:pStyle w:val="ConsPlusNormal"/>
        <w:jc w:val="right"/>
        <w:rPr>
          <w:color w:val="000000"/>
        </w:rPr>
      </w:pPr>
    </w:p>
    <w:p w:rsidR="00CF34C6" w:rsidRPr="009B6774" w:rsidRDefault="00CF34C6">
      <w:pPr>
        <w:pStyle w:val="ConsPlusNormal"/>
        <w:jc w:val="right"/>
        <w:rPr>
          <w:color w:val="000000"/>
        </w:rPr>
      </w:pPr>
    </w:p>
    <w:p w:rsidR="00CF34C6" w:rsidRPr="009B6774" w:rsidRDefault="00CF34C6">
      <w:pPr>
        <w:pStyle w:val="ConsPlusNormal"/>
        <w:jc w:val="right"/>
        <w:rPr>
          <w:color w:val="000000"/>
        </w:rPr>
      </w:pP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Утверждено</w:t>
      </w: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решением</w:t>
      </w: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Земского Собрания</w:t>
      </w:r>
    </w:p>
    <w:p w:rsidR="00CF34C6" w:rsidRPr="00294F4F" w:rsidRDefault="00CF34C6">
      <w:pPr>
        <w:pStyle w:val="ConsPlusNormal"/>
        <w:jc w:val="right"/>
        <w:rPr>
          <w:color w:val="000000"/>
        </w:rPr>
      </w:pPr>
      <w:r w:rsidRPr="00294F4F">
        <w:rPr>
          <w:color w:val="000000"/>
        </w:rPr>
        <w:t>от 22.08.2005 N 58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Title"/>
        <w:jc w:val="center"/>
        <w:rPr>
          <w:color w:val="000000"/>
        </w:rPr>
      </w:pPr>
      <w:bookmarkStart w:id="0" w:name="P45"/>
      <w:bookmarkEnd w:id="0"/>
      <w:r w:rsidRPr="00294F4F">
        <w:rPr>
          <w:color w:val="000000"/>
        </w:rPr>
        <w:t>ПОЛОЖЕНИЕ</w:t>
      </w:r>
    </w:p>
    <w:p w:rsidR="00CF34C6" w:rsidRPr="00294F4F" w:rsidRDefault="00CF34C6">
      <w:pPr>
        <w:pStyle w:val="ConsPlusTitle"/>
        <w:jc w:val="center"/>
        <w:rPr>
          <w:color w:val="000000"/>
        </w:rPr>
      </w:pPr>
      <w:r w:rsidRPr="00294F4F">
        <w:rPr>
          <w:color w:val="000000"/>
        </w:rPr>
        <w:t>О НАЛОГООБЛОЖЕНИИ НА ТЕРРИТОРИИ ОРДИНСКОГО</w:t>
      </w:r>
    </w:p>
    <w:p w:rsidR="00CF34C6" w:rsidRPr="00294F4F" w:rsidRDefault="00CF34C6">
      <w:pPr>
        <w:pStyle w:val="ConsPlusTitle"/>
        <w:jc w:val="center"/>
        <w:rPr>
          <w:color w:val="000000"/>
        </w:rPr>
      </w:pPr>
      <w:r w:rsidRPr="00294F4F">
        <w:rPr>
          <w:color w:val="000000"/>
        </w:rPr>
        <w:t>МУНИЦИПАЛЬНОГО РАЙОНА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Список изменяющих документов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(в ред. решений Земского Собрания Ординского муниципального района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от 01.10.2008 N 105, от 23.11.2009 N 91, от 26.11.2012 N 468,</w:t>
      </w:r>
    </w:p>
    <w:p w:rsidR="00CF34C6" w:rsidRPr="008307A2" w:rsidRDefault="00CF34C6" w:rsidP="008307A2">
      <w:pPr>
        <w:pStyle w:val="ConsPlusNormal"/>
        <w:jc w:val="center"/>
        <w:rPr>
          <w:color w:val="000000"/>
        </w:rPr>
      </w:pPr>
      <w:r w:rsidRPr="008307A2">
        <w:rPr>
          <w:color w:val="000000"/>
        </w:rPr>
        <w:t>от 29.03.2016 N 158)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Настоящее Положение регулирует правоотношения, возникающие в процессе установления, введения и прекращения действия налогов и сборов на территории Ординского муниципального района, а также элементов налогообложения в пределах полномочий Земского Собрания Ординского района.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1. Виды налогов и сборов на территории Ординского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муниципального района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1.1. На территории Ординского муниципального района подлежат уплате федеральные налоги и сборы, региональные налоги и сборы, местные налоги и сборы.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1.2. Федеральными, региональными и местными налогами признаются налоги и сборы, установленные Налоговым кодексом РФ и обязательные к уплате на территории Российской Федерации, Пермского края, Ординского муниципального района.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2. Установление и использование льгот по налогам и сборам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2.1. Льготы по местным налогам и сборам предоставляются в порядке и на условиях, определенных нормативными правовыми актами Земского Собрания Ординского муниципального района в пределах его полномочий.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2.2. Налогоплательщики (плательщики сборов), которые воспользовались льготами по налогам и сборам, предусмотренными настоящим Положением, ежеквартально в сроки, установленные для сдачи бухгалтерской отчетности, представляют в управление финансов администрации Ординского муниципального района информацию о суммах льгот и их использовании по видам налогов и сборов.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3. Списание безнадежных долгов по налогам и сборам,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а также пеням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3.1. Недоимка по местным налогам и сборам, числящаяся за отдельными налогоплательщиками, плательщиками сборов, взыскание которой оказалось невозможным в силу причин экономического, социального или юридического характера, признается безнадежной и списывается в Порядке, утвержденном Постановлением главы муниципального района от 26.09.2007 N 645.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3.2. Правила, предусмотренные пунктом 3.1, применяются также при списании безнадежной задолженности по пеням и штрафам.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4. Единый налог на вмененный доход для определенных видов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деятельности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4.1. Общие положения.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Исчисление и уплата единого налога на вмененный доход для отдельных видов деятельности на территории Ординского муниципального района производится в соответствии с главой 26.3 Налогового кодекса Российской Федерации и настоящим Положением.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4.2. Виды предпринимательской деятельности.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Система налогообложения в виде единого налога на вмененный доход для отдельных видов деятельности (далее - единый налог) может применяться в отношении следующих видов предпринимательской деятельности: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1) оказания бытовых услуг: пошив и ремонт швейных изделий, парикмахерские услуги, ремонт обуви, ремонт бытовой техники, ремонт телерадиоаппаратуры, ремонт часов, услуги фотоателье, фото- и кинолабораторий;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2) оказания услуг по ремонту, техническому обслуживанию и мойке автомототранспортных средств;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(в ред. решения Земского Собрания Ординского муниципального района от 26.11.2012 N 468)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3)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(в ред. решения Земского Собрания Ординского муниципального района от 26.11.2012 N 468)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4) исключен. - Решение Земского Собрания Ординского муниципального района от 23.11.2009 N 91;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6)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7)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8) распространения наружной рекламы с использованием рекламных конструкций;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9) размещения рекламы с использованием внешних и внутренних поверхностей транспортных средств;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(пп. 9 в ред. решения Земского Собрания Ординского муниципального района от 26.11.2012 N 468)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10) оказания ветеринарных услуг;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11)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(пп. 11 введен решением Земского Собрания Ординского муниципального района от 29.03.2016 N 158)</w:t>
      </w:r>
    </w:p>
    <w:p w:rsidR="00CF34C6" w:rsidRPr="008307A2" w:rsidRDefault="00CF34C6" w:rsidP="008307A2">
      <w:pPr>
        <w:pStyle w:val="ConsPlusNormal"/>
        <w:ind w:firstLine="540"/>
        <w:jc w:val="both"/>
        <w:rPr>
          <w:color w:val="000000"/>
        </w:rPr>
      </w:pPr>
      <w:r w:rsidRPr="008307A2">
        <w:rPr>
          <w:color w:val="000000"/>
        </w:rPr>
        <w:t>4.3. Значения корректирующего коэффициента К2 в отношении розничной торговли, осуществляемой через объекты стационарной сети:</w:t>
      </w:r>
    </w:p>
    <w:p w:rsidR="00CF34C6" w:rsidRPr="00294F4F" w:rsidRDefault="00CF34C6">
      <w:pPr>
        <w:rPr>
          <w:color w:val="000000"/>
        </w:rPr>
        <w:sectPr w:rsidR="00CF34C6" w:rsidRPr="00294F4F" w:rsidSect="004E1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4C6" w:rsidRPr="00294F4F" w:rsidRDefault="00CF34C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794"/>
        <w:gridCol w:w="1077"/>
        <w:gridCol w:w="1077"/>
        <w:gridCol w:w="1134"/>
      </w:tblGrid>
      <w:tr w:rsidR="00CF34C6" w:rsidRPr="00000F44">
        <w:tc>
          <w:tcPr>
            <w:tcW w:w="5499" w:type="dxa"/>
            <w:vMerge w:val="restart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  <w:gridSpan w:val="4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Группы по территориям</w:t>
            </w:r>
          </w:p>
        </w:tc>
      </w:tr>
      <w:tr w:rsidR="00CF34C6" w:rsidRPr="00000F44">
        <w:tc>
          <w:tcPr>
            <w:tcW w:w="5499" w:type="dxa"/>
            <w:vMerge/>
          </w:tcPr>
          <w:p w:rsidR="00CF34C6" w:rsidRPr="00000F44" w:rsidRDefault="00CF34C6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1-я</w:t>
            </w:r>
          </w:p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до 300 чел.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2-я</w:t>
            </w:r>
          </w:p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от 300 до 500 чел.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3-я</w:t>
            </w:r>
          </w:p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от 500 до 2000 чел.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4-я</w:t>
            </w:r>
          </w:p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от 2000 и выше чел.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5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bookmarkStart w:id="1" w:name="P112"/>
            <w:bookmarkEnd w:id="1"/>
            <w:r w:rsidRPr="00294F4F">
              <w:rPr>
                <w:color w:val="000000"/>
              </w:rPr>
              <w:t>1. Ювелирные изделия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1.1.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1.2.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0,32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1.3.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0,34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1.4.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0,39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1.5.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0,66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1.6.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bookmarkStart w:id="2" w:name="P143"/>
            <w:bookmarkEnd w:id="2"/>
            <w:r w:rsidRPr="00294F4F">
              <w:rPr>
                <w:color w:val="000000"/>
              </w:rPr>
              <w:t>2. Мебель, изделия из натурального меха, натуральной кожи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2.1.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0,27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2.2.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0,28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2.3.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0,21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2.4.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0,36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2.5.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0,59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2.6.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bookmarkStart w:id="3" w:name="P174"/>
            <w:bookmarkEnd w:id="3"/>
            <w:r w:rsidRPr="00294F4F">
              <w:rPr>
                <w:color w:val="000000"/>
              </w:rPr>
              <w:t>3. Алкогольная продукция, пиво, табачные изделия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3.1.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3.2.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3.3.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3.4.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3.5.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3.6.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bookmarkStart w:id="4" w:name="P205"/>
            <w:bookmarkEnd w:id="4"/>
            <w:r w:rsidRPr="00294F4F">
              <w:rPr>
                <w:color w:val="000000"/>
              </w:rPr>
              <w:t>4. Продовольственные товары, изделия народных художественных промыслов (образцы изделий утверждаются областным художественно-экспертным советом по декоративно-прикладному искусству); предметы культа и религиозного назначения (кроме изделий из драгоценных металлов и драгоценных камней); книжная продукция и периодические издания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4.1.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0,04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0,10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4.2.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4.3.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0,18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4.4.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0,10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0,20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4.5.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0,27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4.6.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0,8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 xml:space="preserve">5. Товары, перечисленные в </w:t>
            </w:r>
            <w:hyperlink w:anchor="P205" w:history="1">
              <w:r w:rsidRPr="00294F4F">
                <w:rPr>
                  <w:color w:val="000000"/>
                </w:rPr>
                <w:t>пункте 4</w:t>
              </w:r>
            </w:hyperlink>
            <w:r w:rsidRPr="00294F4F">
              <w:rPr>
                <w:color w:val="000000"/>
              </w:rPr>
              <w:t xml:space="preserve"> настоящей таблицы, а также иные товары (при условии, что доходы от реализации иных товаров составляют не более 30 процентов от общего товарооборота)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5.1.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0,14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5.2.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0,16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5.3.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0,17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5.4.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0,09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0,19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5.5.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5.6.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0,63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6. Прочие виды товаров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6.1.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0,19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6.2.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0,18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6.3.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0,20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0,22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6.4.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0,20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0,24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6.5.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0,41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6.6.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0,75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 xml:space="preserve">7. Смешанный ассортимент (реализация в одном торговом месте нескольких видов товаров, для которых установлены различные коэффициенты К2 (в графе одного уровня доходности), при условии, что доходы от реализации товарных групп, перечисленных в </w:t>
            </w:r>
            <w:hyperlink w:anchor="P112" w:history="1">
              <w:r w:rsidRPr="00294F4F">
                <w:rPr>
                  <w:color w:val="000000"/>
                </w:rPr>
                <w:t>пунктах 1</w:t>
              </w:r>
            </w:hyperlink>
            <w:r w:rsidRPr="00294F4F">
              <w:rPr>
                <w:color w:val="000000"/>
              </w:rPr>
              <w:t xml:space="preserve">, </w:t>
            </w:r>
            <w:hyperlink w:anchor="P143" w:history="1">
              <w:r w:rsidRPr="00294F4F">
                <w:rPr>
                  <w:color w:val="000000"/>
                </w:rPr>
                <w:t>2</w:t>
              </w:r>
            </w:hyperlink>
            <w:r w:rsidRPr="00294F4F">
              <w:rPr>
                <w:color w:val="000000"/>
              </w:rPr>
              <w:t xml:space="preserve">, </w:t>
            </w:r>
            <w:hyperlink w:anchor="P174" w:history="1">
              <w:r w:rsidRPr="00294F4F">
                <w:rPr>
                  <w:color w:val="000000"/>
                </w:rPr>
                <w:t>3</w:t>
              </w:r>
            </w:hyperlink>
            <w:r w:rsidRPr="00294F4F">
              <w:rPr>
                <w:color w:val="000000"/>
              </w:rPr>
              <w:t xml:space="preserve"> настоящей таблицы, составляют не более 40 процентов от общего товарооборота)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7.1.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7.2.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0,04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7.3.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7.4.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0,06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7.5.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0,07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7.6.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0,08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</w:tr>
      <w:tr w:rsidR="00CF34C6" w:rsidRPr="00000F44">
        <w:tc>
          <w:tcPr>
            <w:tcW w:w="9581" w:type="dxa"/>
            <w:gridSpan w:val="5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8. Лекарственные средства, изделия медицинского назначения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8.1. Площадью от 100 до 150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8.2. Площадью от 50 до 100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8.3. Площадью от 6 до 50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8.4. Площадью от 4 до 6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0,63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8.5. Площадью от 2 до 4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0,7</w:t>
            </w:r>
          </w:p>
        </w:tc>
      </w:tr>
      <w:tr w:rsidR="00CF34C6" w:rsidRPr="00000F44">
        <w:tc>
          <w:tcPr>
            <w:tcW w:w="549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8.6. Площадью до 2 кв. м включительно</w:t>
            </w:r>
          </w:p>
        </w:tc>
        <w:tc>
          <w:tcPr>
            <w:tcW w:w="79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107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</w:t>
            </w:r>
          </w:p>
        </w:tc>
        <w:tc>
          <w:tcPr>
            <w:tcW w:w="113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0,72</w:t>
            </w:r>
          </w:p>
        </w:tc>
      </w:tr>
    </w:tbl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 xml:space="preserve">В случае если в одном торговом месте доходы от реализации товарных групп, перечисленных в </w:t>
      </w:r>
      <w:hyperlink w:anchor="P112" w:history="1">
        <w:r w:rsidRPr="00294F4F">
          <w:rPr>
            <w:color w:val="000000"/>
          </w:rPr>
          <w:t>пунктах 1</w:t>
        </w:r>
      </w:hyperlink>
      <w:r w:rsidRPr="00294F4F">
        <w:rPr>
          <w:color w:val="000000"/>
        </w:rPr>
        <w:t xml:space="preserve">, </w:t>
      </w:r>
      <w:hyperlink w:anchor="P143" w:history="1">
        <w:r w:rsidRPr="00294F4F">
          <w:rPr>
            <w:color w:val="000000"/>
          </w:rPr>
          <w:t>2</w:t>
        </w:r>
      </w:hyperlink>
      <w:r w:rsidRPr="00294F4F">
        <w:rPr>
          <w:color w:val="000000"/>
        </w:rPr>
        <w:t xml:space="preserve">, </w:t>
      </w:r>
      <w:hyperlink w:anchor="P174" w:history="1">
        <w:r w:rsidRPr="00294F4F">
          <w:rPr>
            <w:color w:val="000000"/>
          </w:rPr>
          <w:t>3</w:t>
        </w:r>
      </w:hyperlink>
      <w:r w:rsidRPr="00294F4F">
        <w:rPr>
          <w:color w:val="000000"/>
        </w:rPr>
        <w:t xml:space="preserve">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4.4. Таблица значений корректирующего коэффициента К2 в отношении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907"/>
        <w:gridCol w:w="907"/>
        <w:gridCol w:w="907"/>
        <w:gridCol w:w="907"/>
      </w:tblGrid>
      <w:tr w:rsidR="00CF34C6" w:rsidRPr="00000F44">
        <w:tc>
          <w:tcPr>
            <w:tcW w:w="5953" w:type="dxa"/>
            <w:vMerge w:val="restart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Показатели</w:t>
            </w:r>
          </w:p>
        </w:tc>
        <w:tc>
          <w:tcPr>
            <w:tcW w:w="3628" w:type="dxa"/>
            <w:gridSpan w:val="4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Осуществление деятельности на территориях</w:t>
            </w:r>
          </w:p>
        </w:tc>
      </w:tr>
      <w:tr w:rsidR="00CF34C6" w:rsidRPr="00000F44">
        <w:tc>
          <w:tcPr>
            <w:tcW w:w="5953" w:type="dxa"/>
            <w:vMerge/>
          </w:tcPr>
          <w:p w:rsidR="00CF34C6" w:rsidRPr="00000F44" w:rsidRDefault="00CF34C6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4-й группы</w:t>
            </w:r>
          </w:p>
        </w:tc>
      </w:tr>
      <w:tr w:rsidR="00CF34C6" w:rsidRPr="00000F44">
        <w:tc>
          <w:tcPr>
            <w:tcW w:w="5953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Подакцизные товары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0,36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Изделия из натурального меха, натуральной кожи, ковровые изделия, детали, агрегаты и принадлежности к автомобилям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Продовольственные товары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0,24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0,28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Лекарственные средства и изделия медицинского назначения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 (ФАПы)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Изделия художественных народных промыслов и ремесел (образцы изделий утверждаются областным художественно-экспертным советом по декоративно-прикладному искусству); предметы культа и религиозного назначения (кроме изделий из драгоценных металлов и драгоценных камней); 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Прочие виды товаров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</w:tr>
    </w:tbl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4.4.1. Таблица значений корректирующего коэффициента К2 в отношении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907"/>
        <w:gridCol w:w="907"/>
        <w:gridCol w:w="907"/>
        <w:gridCol w:w="907"/>
      </w:tblGrid>
      <w:tr w:rsidR="00CF34C6" w:rsidRPr="00000F44">
        <w:tc>
          <w:tcPr>
            <w:tcW w:w="5953" w:type="dxa"/>
            <w:vMerge w:val="restart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Показатели</w:t>
            </w:r>
          </w:p>
        </w:tc>
        <w:tc>
          <w:tcPr>
            <w:tcW w:w="3628" w:type="dxa"/>
            <w:gridSpan w:val="4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Осуществление деятельности на территориях</w:t>
            </w:r>
          </w:p>
        </w:tc>
      </w:tr>
      <w:tr w:rsidR="00CF34C6" w:rsidRPr="00000F44">
        <w:tc>
          <w:tcPr>
            <w:tcW w:w="5953" w:type="dxa"/>
            <w:vMerge/>
          </w:tcPr>
          <w:p w:rsidR="00CF34C6" w:rsidRPr="00000F44" w:rsidRDefault="00CF34C6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4-й группы</w:t>
            </w:r>
          </w:p>
        </w:tc>
      </w:tr>
      <w:tr w:rsidR="00CF34C6" w:rsidRPr="00000F44">
        <w:tc>
          <w:tcPr>
            <w:tcW w:w="5953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Подакцизные товары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0,36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Изделия из натурального меха, натуральной кожи, ковровые изделия, детали, агрегаты и принадлежности к автомобилям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0,6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Продовольственные товары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0,42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Лекарственные средства и изделия медицинского назначения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 (ФАПы)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Изделия художественных народных промыслов и ремесел (образцы изделий утверждаются областным художественно-экспертным советом по декоративно-прикладному искусству);</w:t>
            </w:r>
          </w:p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предметы культа и религиозного назначения (кроме изделий из драгоценных металлов и драгоценных камней);</w:t>
            </w:r>
          </w:p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0,25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Прочие виды товаров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0,35</w:t>
            </w:r>
          </w:p>
        </w:tc>
      </w:tr>
    </w:tbl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1-я группа: до 300 чел.: Курилово, Голухино, Грязнуха, Журавлево, Подзуево, Притыки, Серкино, Баляковка, Тайся, Маринкино, Андреевка, Грибаны, Губаны, Яковлевка, Паньково, Б. Озеро, Мезенцы, Подберезово, Починки, Саламаты, Терехино, Шерстобиты, Михайловка, Щелканка, Климихи, Межовка, Павлово, Сходская, Черемиска, Шарынино, Березовая Гора;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2-я группа: от 300 до 500 чел.: Верхний Кунгур, Вторые Ключики, Грызаны, Мерекаи, Опачевка, Сосновка, Михино;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  <w:r w:rsidRPr="00294F4F">
        <w:rPr>
          <w:color w:val="000000"/>
        </w:rPr>
        <w:t xml:space="preserve">(в ред. </w:t>
      </w:r>
      <w:hyperlink r:id="rId4" w:history="1">
        <w:r w:rsidRPr="00294F4F">
          <w:rPr>
            <w:color w:val="000000"/>
          </w:rPr>
          <w:t>решения</w:t>
        </w:r>
      </w:hyperlink>
      <w:r w:rsidRPr="00294F4F">
        <w:rPr>
          <w:color w:val="000000"/>
        </w:rPr>
        <w:t xml:space="preserve"> Земского Собрания Ординского муниципального района от 26.11.2012 N 468)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3-я группа: от 500 до 2000 чел.: Карьево, Красный Ясыл, Шляпники, Малый Ашап, Медянка, Ашап;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  <w:r w:rsidRPr="00294F4F">
        <w:rPr>
          <w:color w:val="000000"/>
        </w:rPr>
        <w:t xml:space="preserve">(в ред. </w:t>
      </w:r>
      <w:hyperlink r:id="rId5" w:history="1">
        <w:r w:rsidRPr="00294F4F">
          <w:rPr>
            <w:color w:val="000000"/>
          </w:rPr>
          <w:t>решения</w:t>
        </w:r>
      </w:hyperlink>
      <w:r w:rsidRPr="00294F4F">
        <w:rPr>
          <w:color w:val="000000"/>
        </w:rPr>
        <w:t xml:space="preserve"> Земского Собрания Ординского муниципального района от 26.11.2012 N 468)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4-я группа: от 2000 и свыше: Орда.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коэффициента К2, установленное для товарной группы "Прочие виды товаров".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4.5. Значение корректирующего коэффициента К2 в отношении разносной торговли, осуществляемой индивидуальными предпринимателями, применяется в населенных пунктах: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1-й группы - в размере 0,1;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2-й группы - 0,2;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3-й группы - 0,3;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4-й группы - 0,3.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4.6. Таблица значений корректирующего коэффициента К2 в отношении вида предпринимательской деятельности "Оказание услуг общественного питания":</w:t>
      </w:r>
    </w:p>
    <w:p w:rsidR="00CF34C6" w:rsidRPr="00294F4F" w:rsidRDefault="00CF34C6">
      <w:pPr>
        <w:rPr>
          <w:color w:val="000000"/>
        </w:rPr>
        <w:sectPr w:rsidR="00CF34C6" w:rsidRPr="00294F4F">
          <w:pgSz w:w="16838" w:h="11905"/>
          <w:pgMar w:top="1701" w:right="1134" w:bottom="850" w:left="1134" w:header="0" w:footer="0" w:gutter="0"/>
          <w:cols w:space="720"/>
        </w:sectPr>
      </w:pPr>
    </w:p>
    <w:p w:rsidR="00CF34C6" w:rsidRPr="00294F4F" w:rsidRDefault="00CF34C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907"/>
        <w:gridCol w:w="907"/>
        <w:gridCol w:w="907"/>
        <w:gridCol w:w="907"/>
      </w:tblGrid>
      <w:tr w:rsidR="00CF34C6" w:rsidRPr="00000F44">
        <w:tc>
          <w:tcPr>
            <w:tcW w:w="3118" w:type="dxa"/>
            <w:vMerge w:val="restart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Размер площади, кв. м</w:t>
            </w:r>
          </w:p>
        </w:tc>
        <w:tc>
          <w:tcPr>
            <w:tcW w:w="3628" w:type="dxa"/>
            <w:gridSpan w:val="4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Осуществление деятельности на территориях</w:t>
            </w:r>
          </w:p>
        </w:tc>
      </w:tr>
      <w:tr w:rsidR="00CF34C6" w:rsidRPr="00000F44">
        <w:tc>
          <w:tcPr>
            <w:tcW w:w="3118" w:type="dxa"/>
            <w:vMerge/>
          </w:tcPr>
          <w:p w:rsidR="00CF34C6" w:rsidRPr="00000F44" w:rsidRDefault="00CF34C6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4-й группы</w:t>
            </w:r>
          </w:p>
        </w:tc>
      </w:tr>
      <w:tr w:rsidR="00CF34C6" w:rsidRPr="00000F44">
        <w:tc>
          <w:tcPr>
            <w:tcW w:w="3118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5</w:t>
            </w:r>
          </w:p>
        </w:tc>
      </w:tr>
      <w:tr w:rsidR="00CF34C6" w:rsidRPr="00000F44">
        <w:tc>
          <w:tcPr>
            <w:tcW w:w="3118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До 4 включительно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0,28</w:t>
            </w:r>
          </w:p>
        </w:tc>
      </w:tr>
      <w:tr w:rsidR="00CF34C6" w:rsidRPr="00000F44">
        <w:tc>
          <w:tcPr>
            <w:tcW w:w="3118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От 4 до 6 включительно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0,08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0,08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0,08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0,16</w:t>
            </w:r>
          </w:p>
        </w:tc>
      </w:tr>
      <w:tr w:rsidR="00CF34C6" w:rsidRPr="00000F44">
        <w:tc>
          <w:tcPr>
            <w:tcW w:w="3118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От 6 до 50 включительно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0,07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0,07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0,07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0,14</w:t>
            </w:r>
          </w:p>
        </w:tc>
      </w:tr>
      <w:tr w:rsidR="00CF34C6" w:rsidRPr="00000F44">
        <w:tc>
          <w:tcPr>
            <w:tcW w:w="3118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От 50 до 100 включительно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0,06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0,06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0,06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0,12</w:t>
            </w:r>
          </w:p>
        </w:tc>
      </w:tr>
      <w:tr w:rsidR="00CF34C6" w:rsidRPr="00000F44">
        <w:tc>
          <w:tcPr>
            <w:tcW w:w="3118" w:type="dxa"/>
          </w:tcPr>
          <w:p w:rsidR="00CF34C6" w:rsidRPr="00294F4F" w:rsidRDefault="00CF34C6">
            <w:pPr>
              <w:pStyle w:val="ConsPlusNormal"/>
              <w:jc w:val="both"/>
              <w:rPr>
                <w:color w:val="000000"/>
              </w:rPr>
            </w:pPr>
            <w:r w:rsidRPr="00294F4F">
              <w:rPr>
                <w:color w:val="000000"/>
              </w:rPr>
              <w:t>От 100 до 150 включительно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0,11</w:t>
            </w:r>
          </w:p>
        </w:tc>
      </w:tr>
    </w:tbl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расчета единого налога применяют значение коэффициента К2, равное 0,05.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Значение корректирующего коэффициента К2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питания, не имеющие зала обслуживания посетителей" применяется в размере 0,05.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 xml:space="preserve">4.7. Исключен. - </w:t>
      </w:r>
      <w:hyperlink r:id="rId6" w:history="1">
        <w:r w:rsidRPr="00294F4F">
          <w:rPr>
            <w:color w:val="000000"/>
          </w:rPr>
          <w:t>Решение</w:t>
        </w:r>
      </w:hyperlink>
      <w:r w:rsidRPr="00294F4F">
        <w:rPr>
          <w:color w:val="000000"/>
        </w:rPr>
        <w:t xml:space="preserve"> Земского Собрания Ординского муниципального района от 23.11.2009 N 91.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hyperlink r:id="rId7" w:history="1">
        <w:r w:rsidRPr="00294F4F">
          <w:rPr>
            <w:color w:val="000000"/>
          </w:rPr>
          <w:t>4.7</w:t>
        </w:r>
      </w:hyperlink>
      <w:r w:rsidRPr="00294F4F">
        <w:rPr>
          <w:color w:val="000000"/>
        </w:rPr>
        <w:t>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автомототранспортных средств, для расчета единого налога применяют значение коэффициента К2, равное 0,5.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  <w:r w:rsidRPr="00294F4F">
        <w:rPr>
          <w:color w:val="000000"/>
        </w:rPr>
        <w:t xml:space="preserve">(в ред. </w:t>
      </w:r>
      <w:hyperlink r:id="rId8" w:history="1">
        <w:r w:rsidRPr="00294F4F">
          <w:rPr>
            <w:color w:val="000000"/>
          </w:rPr>
          <w:t>решения</w:t>
        </w:r>
      </w:hyperlink>
      <w:r w:rsidRPr="00294F4F">
        <w:rPr>
          <w:color w:val="000000"/>
        </w:rPr>
        <w:t xml:space="preserve"> Земского Собрания Ординского муниципального района от 26.11.2012 N 468)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hyperlink r:id="rId9" w:history="1">
        <w:r w:rsidRPr="00294F4F">
          <w:rPr>
            <w:color w:val="000000"/>
          </w:rPr>
          <w:t>4.8</w:t>
        </w:r>
      </w:hyperlink>
      <w:r w:rsidRPr="00294F4F">
        <w:rPr>
          <w:color w:val="000000"/>
        </w:rPr>
        <w:t>. Значения корректирующего коэффициента К2 в отношении вида предпринимательской деятельности "Оказание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автостоянок)":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  <w:r w:rsidRPr="00294F4F">
        <w:rPr>
          <w:color w:val="000000"/>
        </w:rPr>
        <w:t xml:space="preserve">(в ред. </w:t>
      </w:r>
      <w:hyperlink r:id="rId10" w:history="1">
        <w:r w:rsidRPr="00294F4F">
          <w:rPr>
            <w:color w:val="000000"/>
          </w:rPr>
          <w:t>решения</w:t>
        </w:r>
      </w:hyperlink>
      <w:r w:rsidRPr="00294F4F">
        <w:rPr>
          <w:color w:val="000000"/>
        </w:rPr>
        <w:t xml:space="preserve"> Земского Собрания Ординского муниципального района от 26.11.2012 N 468)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0"/>
        <w:gridCol w:w="1984"/>
      </w:tblGrid>
      <w:tr w:rsidR="00CF34C6" w:rsidRPr="00000F44">
        <w:tc>
          <w:tcPr>
            <w:tcW w:w="6860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Типы стоянок автомобилей</w:t>
            </w:r>
          </w:p>
        </w:tc>
        <w:tc>
          <w:tcPr>
            <w:tcW w:w="198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Значения корректирующего коэффициента</w:t>
            </w:r>
          </w:p>
        </w:tc>
      </w:tr>
      <w:tr w:rsidR="00CF34C6" w:rsidRPr="00000F44">
        <w:tc>
          <w:tcPr>
            <w:tcW w:w="6860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1. Стоянки открытого типа площадью до 600 кв. м включительно</w:t>
            </w:r>
          </w:p>
        </w:tc>
        <w:tc>
          <w:tcPr>
            <w:tcW w:w="198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</w:tr>
      <w:tr w:rsidR="00CF34C6" w:rsidRPr="00000F44">
        <w:tc>
          <w:tcPr>
            <w:tcW w:w="6860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2. Стоянки открытого типа площадью от 600 до 1500 кв. м включительно</w:t>
            </w:r>
          </w:p>
        </w:tc>
        <w:tc>
          <w:tcPr>
            <w:tcW w:w="198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0,7</w:t>
            </w:r>
          </w:p>
        </w:tc>
      </w:tr>
      <w:tr w:rsidR="00CF34C6" w:rsidRPr="00000F44">
        <w:tc>
          <w:tcPr>
            <w:tcW w:w="6860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3. Стоянки открытого типа площадью свыше 1500 кв. м</w:t>
            </w:r>
          </w:p>
        </w:tc>
        <w:tc>
          <w:tcPr>
            <w:tcW w:w="198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0,5</w:t>
            </w:r>
          </w:p>
        </w:tc>
      </w:tr>
      <w:tr w:rsidR="00CF34C6" w:rsidRPr="00000F44">
        <w:tc>
          <w:tcPr>
            <w:tcW w:w="6860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4. Стоянки закрытого типа</w:t>
            </w:r>
          </w:p>
        </w:tc>
        <w:tc>
          <w:tcPr>
            <w:tcW w:w="1984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</w:tr>
    </w:tbl>
    <w:p w:rsidR="00CF34C6" w:rsidRPr="00294F4F" w:rsidRDefault="00CF34C6">
      <w:pPr>
        <w:rPr>
          <w:color w:val="000000"/>
        </w:rPr>
        <w:sectPr w:rsidR="00CF34C6" w:rsidRPr="00294F4F">
          <w:pgSz w:w="11905" w:h="16838"/>
          <w:pgMar w:top="1134" w:right="850" w:bottom="1134" w:left="1701" w:header="0" w:footer="0" w:gutter="0"/>
          <w:cols w:space="720"/>
        </w:sectPr>
      </w:pPr>
    </w:p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hyperlink r:id="rId11" w:history="1">
        <w:r w:rsidRPr="00294F4F">
          <w:rPr>
            <w:color w:val="000000"/>
          </w:rPr>
          <w:t>4.9</w:t>
        </w:r>
      </w:hyperlink>
      <w:r w:rsidRPr="00294F4F">
        <w:rPr>
          <w:color w:val="000000"/>
        </w:rPr>
        <w:t>. Значения корректирующего коэффициента К2 в отношении вида предпринимательской деятельности "Оказание бытовых услуг":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9"/>
        <w:gridCol w:w="907"/>
        <w:gridCol w:w="907"/>
        <w:gridCol w:w="907"/>
        <w:gridCol w:w="907"/>
      </w:tblGrid>
      <w:tr w:rsidR="00CF34C6" w:rsidRPr="00000F44">
        <w:tc>
          <w:tcPr>
            <w:tcW w:w="6009" w:type="dxa"/>
            <w:vMerge w:val="restart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Вид деятельности</w:t>
            </w:r>
          </w:p>
        </w:tc>
        <w:tc>
          <w:tcPr>
            <w:tcW w:w="3628" w:type="dxa"/>
            <w:gridSpan w:val="4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Осуществление деятельности на территориях</w:t>
            </w:r>
          </w:p>
        </w:tc>
      </w:tr>
      <w:tr w:rsidR="00CF34C6" w:rsidRPr="00000F44">
        <w:tc>
          <w:tcPr>
            <w:tcW w:w="6009" w:type="dxa"/>
            <w:vMerge/>
          </w:tcPr>
          <w:p w:rsidR="00CF34C6" w:rsidRPr="00000F44" w:rsidRDefault="00CF34C6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3-й группы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4-й группы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3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4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5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Пошив и ремонт швейных изделий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Парикмахерские услуги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0,4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из них: гигиенический маникюр с покрытием и без покрытия ногтей лаком, окраска бровей и ресниц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0,025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Ремонт обуви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0,15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Ремонт бытовой техники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Ремонт телерадиоаппаратуры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0,3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Ремонт часов</w:t>
            </w:r>
            <w:bookmarkStart w:id="5" w:name="_GoBack"/>
            <w:bookmarkEnd w:id="5"/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0,02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</w:tr>
      <w:tr w:rsidR="00CF34C6" w:rsidRPr="00000F44">
        <w:tc>
          <w:tcPr>
            <w:tcW w:w="6009" w:type="dxa"/>
          </w:tcPr>
          <w:p w:rsidR="00CF34C6" w:rsidRPr="00294F4F" w:rsidRDefault="00CF34C6">
            <w:pPr>
              <w:pStyle w:val="ConsPlusNormal"/>
              <w:rPr>
                <w:color w:val="000000"/>
              </w:rPr>
            </w:pPr>
            <w:r w:rsidRPr="00294F4F">
              <w:rPr>
                <w:color w:val="000000"/>
              </w:rPr>
              <w:t>Услуги фотоателье, фото- и кинолабораторий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0,05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0,1</w:t>
            </w:r>
          </w:p>
        </w:tc>
        <w:tc>
          <w:tcPr>
            <w:tcW w:w="907" w:type="dxa"/>
          </w:tcPr>
          <w:p w:rsidR="00CF34C6" w:rsidRPr="00294F4F" w:rsidRDefault="00CF34C6">
            <w:pPr>
              <w:pStyle w:val="ConsPlusNormal"/>
              <w:jc w:val="center"/>
              <w:rPr>
                <w:color w:val="000000"/>
              </w:rPr>
            </w:pPr>
            <w:r w:rsidRPr="00294F4F">
              <w:rPr>
                <w:color w:val="000000"/>
              </w:rPr>
              <w:t>0,2</w:t>
            </w:r>
          </w:p>
        </w:tc>
      </w:tr>
    </w:tbl>
    <w:p w:rsidR="00CF34C6" w:rsidRPr="00294F4F" w:rsidRDefault="00CF34C6">
      <w:pPr>
        <w:pStyle w:val="ConsPlusNormal"/>
        <w:jc w:val="both"/>
        <w:rPr>
          <w:color w:val="000000"/>
        </w:rPr>
      </w:pP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hyperlink r:id="rId12" w:history="1">
        <w:r w:rsidRPr="00294F4F">
          <w:rPr>
            <w:color w:val="000000"/>
          </w:rPr>
          <w:t>4.10</w:t>
        </w:r>
      </w:hyperlink>
      <w:r w:rsidRPr="00294F4F">
        <w:rPr>
          <w:color w:val="000000"/>
        </w:rPr>
        <w:t>. Значение корректирующего коэффициента К2 в отношении вида предпринимательской деятельности "Распространение наружной рекламы с использованием рекламных конструкций" применяется 0,1.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hyperlink r:id="rId13" w:history="1">
        <w:r w:rsidRPr="00294F4F">
          <w:rPr>
            <w:color w:val="000000"/>
          </w:rPr>
          <w:t>4.11</w:t>
        </w:r>
      </w:hyperlink>
      <w:r w:rsidRPr="00294F4F">
        <w:rPr>
          <w:color w:val="000000"/>
        </w:rPr>
        <w:t>. Значение корректирующего коэффициента К2 в отношении вида предпринимательской деятельности "Размещение рекламы с использованием внешних и внутренних поверхностей транспортных средств" применяется 0,5.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  <w:r w:rsidRPr="00294F4F">
        <w:rPr>
          <w:color w:val="000000"/>
        </w:rPr>
        <w:t xml:space="preserve">(в ред. </w:t>
      </w:r>
      <w:hyperlink r:id="rId14" w:history="1">
        <w:r w:rsidRPr="00294F4F">
          <w:rPr>
            <w:color w:val="000000"/>
          </w:rPr>
          <w:t>решения</w:t>
        </w:r>
      </w:hyperlink>
      <w:r w:rsidRPr="00294F4F">
        <w:rPr>
          <w:color w:val="000000"/>
        </w:rPr>
        <w:t xml:space="preserve"> Земского Собрания Ординского муниципального района от 26.11.2012 N 468)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hyperlink r:id="rId15" w:history="1">
        <w:r w:rsidRPr="00294F4F">
          <w:rPr>
            <w:color w:val="000000"/>
          </w:rPr>
          <w:t>4.12</w:t>
        </w:r>
      </w:hyperlink>
      <w:r w:rsidRPr="00294F4F">
        <w:rPr>
          <w:color w:val="000000"/>
        </w:rPr>
        <w:t>. Значение корректирующего коэффициента К2 в отношении вида предпринимательской деятельности "Оказание ветеринарных услуг" применяется 0,2.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4.13. Значение корректирующего коэффициента К2 в отношении вида предпринимательской деятельности "Оказание автотранспортных услуг по перевозке грузов" применяется в размере 1.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r w:rsidRPr="00294F4F">
        <w:rPr>
          <w:color w:val="000000"/>
        </w:rPr>
        <w:t>Значение корректирующего коэффициента К2 в отношении вида предпринимательской деятельности "Оказание автотранспортных услуг по перевозке пассажиров" применяется в размере 0,2.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  <w:r w:rsidRPr="00294F4F">
        <w:rPr>
          <w:color w:val="000000"/>
        </w:rPr>
        <w:t xml:space="preserve">(п. 4.13 введен </w:t>
      </w:r>
      <w:hyperlink r:id="rId16" w:history="1">
        <w:r w:rsidRPr="00294F4F">
          <w:rPr>
            <w:color w:val="000000"/>
          </w:rPr>
          <w:t>решением</w:t>
        </w:r>
      </w:hyperlink>
      <w:r w:rsidRPr="00294F4F">
        <w:rPr>
          <w:color w:val="000000"/>
        </w:rPr>
        <w:t xml:space="preserve"> Земского Собрания Ординского муниципального района от 29.03.2016 N 158)</w:t>
      </w:r>
    </w:p>
    <w:p w:rsidR="00CF34C6" w:rsidRPr="00294F4F" w:rsidRDefault="00CF34C6">
      <w:pPr>
        <w:pStyle w:val="ConsPlusNormal"/>
        <w:ind w:firstLine="540"/>
        <w:jc w:val="both"/>
        <w:rPr>
          <w:color w:val="000000"/>
        </w:rPr>
      </w:pPr>
      <w:hyperlink r:id="rId17" w:history="1">
        <w:r w:rsidRPr="00294F4F">
          <w:rPr>
            <w:color w:val="000000"/>
          </w:rPr>
          <w:t>4.14</w:t>
        </w:r>
      </w:hyperlink>
      <w:r w:rsidRPr="00294F4F">
        <w:rPr>
          <w:color w:val="000000"/>
        </w:rPr>
        <w:t>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К2 определяется за каждый месяц, в котором произошли данные изменения.</w:t>
      </w:r>
    </w:p>
    <w:p w:rsidR="00CF34C6" w:rsidRPr="00294F4F" w:rsidRDefault="00CF34C6">
      <w:pPr>
        <w:pStyle w:val="ConsPlusNormal"/>
        <w:jc w:val="both"/>
        <w:rPr>
          <w:color w:val="000000"/>
        </w:rPr>
      </w:pPr>
    </w:p>
    <w:sectPr w:rsidR="00CF34C6" w:rsidRPr="00294F4F" w:rsidSect="0026177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F4F"/>
    <w:rsid w:val="00000F44"/>
    <w:rsid w:val="000E2E6C"/>
    <w:rsid w:val="00261779"/>
    <w:rsid w:val="00294F4F"/>
    <w:rsid w:val="003015BA"/>
    <w:rsid w:val="004E1EDC"/>
    <w:rsid w:val="00531FED"/>
    <w:rsid w:val="005503CE"/>
    <w:rsid w:val="00556AF3"/>
    <w:rsid w:val="00582959"/>
    <w:rsid w:val="00590F3B"/>
    <w:rsid w:val="006836AE"/>
    <w:rsid w:val="008307A2"/>
    <w:rsid w:val="00931E81"/>
    <w:rsid w:val="009860FC"/>
    <w:rsid w:val="009B6774"/>
    <w:rsid w:val="00AC287F"/>
    <w:rsid w:val="00B04318"/>
    <w:rsid w:val="00B6352C"/>
    <w:rsid w:val="00C165F1"/>
    <w:rsid w:val="00CA0C94"/>
    <w:rsid w:val="00CF34C6"/>
    <w:rsid w:val="00D457A5"/>
    <w:rsid w:val="00D9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4F4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294F4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94F4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94F4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94F4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94F4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94F4F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5DDFA66DD9418ABB14A1EC995226945F76170D81911BB122A605802FE154F0D4A79200204DC8DCDEC7444k6t8F" TargetMode="External"/><Relationship Id="rId13" Type="http://schemas.openxmlformats.org/officeDocument/2006/relationships/hyperlink" Target="consultantplus://offline/ref=F595DDFA66DD9418ABB14A1EC995226945F76170DE1F1EBA15213D520AA7194D0A452637054DD08CCDEC75k4t5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95DDFA66DD9418ABB14A1EC995226945F76170DE1F1EBA15213D520AA7194D0A452637054DD08CCDEC75k4t5F" TargetMode="External"/><Relationship Id="rId12" Type="http://schemas.openxmlformats.org/officeDocument/2006/relationships/hyperlink" Target="consultantplus://offline/ref=F595DDFA66DD9418ABB14A1EC995226945F76170DE1F1EBA15213D520AA7194D0A452637054DD08CCDEC75k4t5F" TargetMode="External"/><Relationship Id="rId17" Type="http://schemas.openxmlformats.org/officeDocument/2006/relationships/hyperlink" Target="consultantplus://offline/ref=F595DDFA66DD9418ABB14A1EC995226945F76170D81A1FBB1B2C605802FE154F0D4A79200204DC8DCDEC7444k6t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95DDFA66DD9418ABB14A1EC995226945F76170D81A1FBB1B2C605802FE154F0D4A79200204DC8DCDEC7444k6t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95DDFA66DD9418ABB14A1EC995226945F76170DE1F1EBA15213D520AA7194D0A452637054DD08CCDEC74k4tCF" TargetMode="External"/><Relationship Id="rId11" Type="http://schemas.openxmlformats.org/officeDocument/2006/relationships/hyperlink" Target="consultantplus://offline/ref=F595DDFA66DD9418ABB14A1EC995226945F76170DE1F1EBA15213D520AA7194D0A452637054DD08CCDEC75k4t5F" TargetMode="External"/><Relationship Id="rId5" Type="http://schemas.openxmlformats.org/officeDocument/2006/relationships/hyperlink" Target="consultantplus://offline/ref=F595DDFA66DD9418ABB14A1EC995226945F76170D81911BB122A605802FE154F0D4A79200204DC8DCDEC7444k6t9F" TargetMode="External"/><Relationship Id="rId15" Type="http://schemas.openxmlformats.org/officeDocument/2006/relationships/hyperlink" Target="consultantplus://offline/ref=F595DDFA66DD9418ABB14A1EC995226945F76170DE1F1EBA15213D520AA7194D0A452637054DD08CCDEC75k4t5F" TargetMode="External"/><Relationship Id="rId10" Type="http://schemas.openxmlformats.org/officeDocument/2006/relationships/hyperlink" Target="consultantplus://offline/ref=F595DDFA66DD9418ABB14A1EC995226945F76170D81911BB122A605802FE154F0D4A79200204DC8DCDEC7444k6tBF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595DDFA66DD9418ABB14A1EC995226945F76170D81911BB122A605802FE154F0D4A79200204DC8DCDEC7444k6tFF" TargetMode="External"/><Relationship Id="rId9" Type="http://schemas.openxmlformats.org/officeDocument/2006/relationships/hyperlink" Target="consultantplus://offline/ref=F595DDFA66DD9418ABB14A1EC995226945F76170DE1F1EBA15213D520AA7194D0A452637054DD08CCDEC75k4t5F" TargetMode="External"/><Relationship Id="rId14" Type="http://schemas.openxmlformats.org/officeDocument/2006/relationships/hyperlink" Target="consultantplus://offline/ref=F595DDFA66DD9418ABB14A1EC995226945F76170D81911BB122A605802FE154F0D4A79200204DC8DCDEC7444k6t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14</Pages>
  <Words>3469</Words>
  <Characters>19779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2016-07-21T05:45:00Z</dcterms:created>
  <dcterms:modified xsi:type="dcterms:W3CDTF">2016-10-26T09:02:00Z</dcterms:modified>
</cp:coreProperties>
</file>