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ЗЕМСКОЕ СОБРАНИЕ ЧУСОВСКОГО МУНИЦИПАЛЬНОГО РАЙОНА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РЕШЕНИЕ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от 19 марта 2009 г. N 611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О ВНЕСЕНИИ ИЗМЕНЕНИЙ В РЕШЕНИЕ ЗЕМСКОГО СОБРАНИЯ ЧУСОВСКОГО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МУНИЦИПАЛЬНОГО РАЙОНА ОТ 31.10.2007 N 359 "О ВВЕДЕНИИ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ЕДИНОГО НАЛОГА НА ВМЕНЕННЫЙ ДОХОД ДЛЯ ОТДЕЛЬНЫХ ВИДОВ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ДЕЯТЕЛЬНОСТИ НА ТЕРРИТОРИИ ЧУСОВСКОГО МУНИЦИПАЛЬНОГО</w:t>
      </w:r>
    </w:p>
    <w:p w:rsidR="001A262E" w:rsidRPr="00513B3B" w:rsidRDefault="001A262E">
      <w:pPr>
        <w:pStyle w:val="ConsPlusTitle"/>
        <w:jc w:val="center"/>
        <w:rPr>
          <w:color w:val="000000"/>
        </w:rPr>
      </w:pPr>
      <w:r w:rsidRPr="00513B3B">
        <w:rPr>
          <w:color w:val="000000"/>
        </w:rPr>
        <w:t>РАЙОНА"</w:t>
      </w:r>
    </w:p>
    <w:p w:rsidR="001A262E" w:rsidRPr="00513B3B" w:rsidRDefault="001A262E">
      <w:pPr>
        <w:pStyle w:val="ConsPlusNormal"/>
        <w:ind w:firstLine="540"/>
        <w:jc w:val="both"/>
        <w:rPr>
          <w:color w:val="000000"/>
        </w:rPr>
      </w:pP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Федерации, статьей 4 Устава муниципального образования "Чусовской муниципальный район" Земское Собрание Чусовского муниципального района решает: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1. Внести следующие изменения в решение Земского Собрания Чусовского муниципального района от 31.10.2007 N 359 "О введении единого налога на вмененный доход для отдельных видов деятельности на территории Чусовского муниципального района":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1.1. В приложении 2 решения: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1.1.1. пункт 4 исключить;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1.1.2. пункт 5 считать пунктом 4 и в абзаце 1 данного пункта слова: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"Таблица значений корректирующего коэффициента К2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торговли:" заменить на слова: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"Таблица значений корректирующего коэффициента К2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а также розничной торговли, осуществляемой через объекты стационарной торговой сети, не имеющей торговых залов, площадь торгового места в которых превышает 5 квадратных метров:";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1.1.3. пункт 6 считать пунктом 5 и изложить в следующей редакции:</w:t>
      </w:r>
    </w:p>
    <w:p w:rsidR="001A262E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"Таблица значений корректирующего коэффициента К2 в отношении розничной торговли, осуществляемой через объекты стационарной торговой сети, не имеющей торговых залов, а также через объекты нестационарной торговой сети, площадь торгового места в которых не превышает 5 квадратных метров, и в отношении розничной торговли, осуществляемой через объекты нестационарной торговой сети, площадь торгового места в которых превышает 5 квадратных метров: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┌─────────────────────────────────────────────────────────────────┬────┐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                           Показатели                            │ К2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│Розничная торговля, осуществляемая через объекты стационарной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│торговой сети, не имеющие торговых залов, а также через объекты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│нестационарной торговой сети, площадь торгового места в которых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│не превышает 5 квадратных метров: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│Подакцизные товары: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стационарной торговой сети                               │0,7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                            │0,38│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│Изделия из натурального меха, натуральной кожи, ковровые изделия,│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│детали, агрегаты и принадлежности к автомобилям: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стационарной торговой сети                               │0,7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                            │0,42│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│Продовольственные товары: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стационарной торговой сети                               │0,38│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                            │0,25│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│Лекарственные средства и изделия медицинского назначения: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стационарной торговой сети                               │0,7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                            │0,21│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│Изделия художественных народных промыслов и ремесел (образцы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│изделий утверждаются областным художественно-экспертным советом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│по декоративно-прикладному искусству);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│предметы культа и религиозного назначения (кроме изделий из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│драгоценных металлов и драгоценных камней);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│книжная продукция и периодические издания (кроме продукции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│рекламного и эротического характера), а также сопутствующие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│товары в соответствии с перечнем (при условии, что доходы от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│реализации сопутствующих товаров составляют не более 30 процентов│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│от общего товарооборота):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стационарной торговой сети                               │0,34│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                            │0,21│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│Прочие виды товаров: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стационарной торговой сети                               │0,7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                            │0,34│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│Розничная торговля, осуществляемая через объекты нестационарной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│торговой сети, площадь торгового места в которых превышает 5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│квадратных метров: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│Подакцизные товары: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до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   │0,39│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│включительно      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свыше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│0,31│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│Изделия из натурального меха, натуральной кожи, ковровые изделия,│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│детали, агрегаты и принадлежности к автомобилям: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до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   │0,44│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│включительно      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свыше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│0,34│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│Продовольственные товары: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до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   │0,26│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│включительно      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свыше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│0,21│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│Лекарственные средства и изделия медицинского назначения: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до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   │0,22│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│включительно      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 xml:space="preserve">│Объекты нестационарной торговой сети площадью свыше </w:t>
      </w:r>
      <w:smartTag w:uri="urn:schemas-microsoft-com:office:smarttags" w:element="metricconverter">
        <w:smartTagPr>
          <w:attr w:name="ProductID" w:val="10 кв. м"/>
        </w:smartTagPr>
        <w:r w:rsidRPr="00513B3B">
          <w:rPr>
            <w:color w:val="000000"/>
          </w:rPr>
          <w:t>10 кв. м</w:t>
        </w:r>
      </w:smartTag>
      <w:r w:rsidRPr="00513B3B">
        <w:rPr>
          <w:color w:val="000000"/>
        </w:rPr>
        <w:t xml:space="preserve">     │0,17│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│Изделия художественных народных промыслов и ремесел (образцы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│изделий утверждаются областным художественно-экспертным советом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│по декоративно-прикладному искусству);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│предметы культа и религиозного назначения (кроме изделий из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│драгоценных металлов и драгоценных камней);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│книжная продукция и периодические издания (кроме продукции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│рекламного и эротического характера), а также сопутствующие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│товары в соответствии с перечнем (при условии, что доходы от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│реализации сопутствующих товаров составляют не более 30 процентов│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│от общего товарооборота):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площадью до 10 кв. м        │0,22│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│включительно      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площадью свыше 10 кв. м     │0,17│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│Прочие виды товаров: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площадью до 10 кв. м        │0,35│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│включительно                                                     │    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├─────────────────────────────────────────────────────────────────┼────┤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│Объекты нестационарной торговой сети площадью свыше 10 кв. м     │0,27│</w:t>
      </w:r>
    </w:p>
    <w:p w:rsidR="001A262E" w:rsidRPr="00513B3B" w:rsidRDefault="001A262E">
      <w:pPr>
        <w:pStyle w:val="ConsPlusCell"/>
        <w:rPr>
          <w:color w:val="000000"/>
        </w:rPr>
      </w:pPr>
      <w:r w:rsidRPr="00513B3B">
        <w:rPr>
          <w:color w:val="000000"/>
        </w:rPr>
        <w:t>└─────────────────────────────────────────────────────────────────┴────┘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1.1.4. дополнить пунктом 6 следующего содержания: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"При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корректирующего коэффициента К2, установленное для товарной группы "Прочие виды товаров".".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2. Настоящее решение действует с 1 января 2009 года.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3. Опубликовать решение в газете "Чусовской рабочий".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  <w:r w:rsidRPr="006B7761">
        <w:rPr>
          <w:color w:val="000000"/>
        </w:rPr>
        <w:t>4. Контроль за исполнением решения возложить на председателя планово-бюджетной комиссии Гайнетдинова Р.Х.</w:t>
      </w:r>
    </w:p>
    <w:p w:rsidR="001A262E" w:rsidRPr="006B7761" w:rsidRDefault="001A262E" w:rsidP="006B7761">
      <w:pPr>
        <w:pStyle w:val="ConsPlusNormal"/>
        <w:ind w:firstLine="540"/>
        <w:jc w:val="both"/>
        <w:rPr>
          <w:color w:val="000000"/>
        </w:rPr>
      </w:pPr>
    </w:p>
    <w:p w:rsidR="001A262E" w:rsidRPr="000F1238" w:rsidRDefault="001A262E">
      <w:pPr>
        <w:pStyle w:val="ConsPlusNormal"/>
        <w:jc w:val="right"/>
        <w:rPr>
          <w:i/>
          <w:color w:val="000000"/>
        </w:rPr>
      </w:pPr>
      <w:r w:rsidRPr="006B7761">
        <w:rPr>
          <w:i/>
          <w:color w:val="000000"/>
        </w:rPr>
        <w:t xml:space="preserve">Глава </w:t>
      </w:r>
    </w:p>
    <w:p w:rsidR="001A262E" w:rsidRPr="006B7761" w:rsidRDefault="001A262E">
      <w:pPr>
        <w:pStyle w:val="ConsPlusNormal"/>
        <w:jc w:val="right"/>
        <w:rPr>
          <w:i/>
          <w:color w:val="000000"/>
        </w:rPr>
      </w:pPr>
      <w:r w:rsidRPr="006B7761">
        <w:rPr>
          <w:i/>
          <w:color w:val="000000"/>
        </w:rPr>
        <w:t>района</w:t>
      </w:r>
    </w:p>
    <w:p w:rsidR="001A262E" w:rsidRPr="006B7761" w:rsidRDefault="001A262E">
      <w:pPr>
        <w:pStyle w:val="ConsPlusNormal"/>
        <w:jc w:val="right"/>
        <w:rPr>
          <w:i/>
          <w:color w:val="000000"/>
        </w:rPr>
      </w:pPr>
      <w:r w:rsidRPr="006B7761">
        <w:rPr>
          <w:i/>
          <w:color w:val="000000"/>
        </w:rPr>
        <w:t>Н.И.СИМАКОВ</w:t>
      </w:r>
    </w:p>
    <w:p w:rsidR="001A262E" w:rsidRPr="00513B3B" w:rsidRDefault="001A262E">
      <w:pPr>
        <w:pStyle w:val="ConsPlusNormal"/>
        <w:ind w:firstLine="540"/>
        <w:jc w:val="both"/>
        <w:rPr>
          <w:color w:val="000000"/>
        </w:rPr>
      </w:pPr>
    </w:p>
    <w:sectPr w:rsidR="001A262E" w:rsidRPr="00513B3B" w:rsidSect="003F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95"/>
    <w:rsid w:val="000F1238"/>
    <w:rsid w:val="001A262E"/>
    <w:rsid w:val="00346FB4"/>
    <w:rsid w:val="003F6CC4"/>
    <w:rsid w:val="004000D9"/>
    <w:rsid w:val="00513B3B"/>
    <w:rsid w:val="00613FBB"/>
    <w:rsid w:val="006202B6"/>
    <w:rsid w:val="0065473B"/>
    <w:rsid w:val="00656595"/>
    <w:rsid w:val="006836AE"/>
    <w:rsid w:val="006B7761"/>
    <w:rsid w:val="00846797"/>
    <w:rsid w:val="00964E0B"/>
    <w:rsid w:val="009A251C"/>
    <w:rsid w:val="00BB1417"/>
    <w:rsid w:val="00CA0C94"/>
    <w:rsid w:val="00D8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2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659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5659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5659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5659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1519</Words>
  <Characters>8660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2016-07-19T03:53:00Z</dcterms:created>
  <dcterms:modified xsi:type="dcterms:W3CDTF">2016-10-27T05:59:00Z</dcterms:modified>
</cp:coreProperties>
</file>