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FB" w:rsidRPr="00FD4277" w:rsidRDefault="003B00FB">
      <w:pPr>
        <w:pStyle w:val="ConsPlusTitle"/>
        <w:jc w:val="center"/>
        <w:rPr>
          <w:color w:val="000000"/>
        </w:rPr>
      </w:pPr>
      <w:r w:rsidRPr="00FD4277">
        <w:rPr>
          <w:color w:val="000000"/>
        </w:rPr>
        <w:t>СОЛИКАМСКАЯ ГОРОДСКАЯ ДУМА</w:t>
      </w:r>
    </w:p>
    <w:p w:rsidR="003B00FB" w:rsidRPr="00FD4277" w:rsidRDefault="003B00FB">
      <w:pPr>
        <w:pStyle w:val="ConsPlusTitle"/>
        <w:jc w:val="center"/>
        <w:rPr>
          <w:color w:val="000000"/>
        </w:rPr>
      </w:pPr>
    </w:p>
    <w:p w:rsidR="003B00FB" w:rsidRPr="00FD4277" w:rsidRDefault="003B00FB">
      <w:pPr>
        <w:pStyle w:val="ConsPlusTitle"/>
        <w:jc w:val="center"/>
        <w:rPr>
          <w:color w:val="000000"/>
        </w:rPr>
      </w:pPr>
      <w:r w:rsidRPr="00FD4277">
        <w:rPr>
          <w:color w:val="000000"/>
        </w:rPr>
        <w:t>РЕШЕНИЕ</w:t>
      </w:r>
    </w:p>
    <w:p w:rsidR="003B00FB" w:rsidRPr="00FD4277" w:rsidRDefault="003B00FB">
      <w:pPr>
        <w:pStyle w:val="ConsPlusTitle"/>
        <w:jc w:val="center"/>
        <w:rPr>
          <w:color w:val="000000"/>
        </w:rPr>
      </w:pPr>
      <w:r w:rsidRPr="00FD4277">
        <w:rPr>
          <w:color w:val="000000"/>
        </w:rPr>
        <w:t>от 25 ноября 2009 г. N 726</w:t>
      </w:r>
    </w:p>
    <w:p w:rsidR="003B00FB" w:rsidRPr="00FD4277" w:rsidRDefault="003B00FB">
      <w:pPr>
        <w:pStyle w:val="ConsPlusTitle"/>
        <w:jc w:val="center"/>
        <w:rPr>
          <w:color w:val="000000"/>
        </w:rPr>
      </w:pPr>
    </w:p>
    <w:p w:rsidR="003B00FB" w:rsidRPr="00FD4277" w:rsidRDefault="003B00FB">
      <w:pPr>
        <w:pStyle w:val="ConsPlusTitle"/>
        <w:jc w:val="center"/>
        <w:rPr>
          <w:color w:val="000000"/>
        </w:rPr>
      </w:pPr>
      <w:r w:rsidRPr="00FD4277">
        <w:rPr>
          <w:color w:val="000000"/>
        </w:rPr>
        <w:t>О ВНЕСЕНИИ ИЗМЕНЕНИЙ И ДОПОЛНЕНИЙ В ПРИЛОЖЕНИЕ "ЗНАЧЕНИЯ</w:t>
      </w:r>
    </w:p>
    <w:p w:rsidR="003B00FB" w:rsidRPr="00FD4277" w:rsidRDefault="003B00FB">
      <w:pPr>
        <w:pStyle w:val="ConsPlusTitle"/>
        <w:jc w:val="center"/>
        <w:rPr>
          <w:color w:val="000000"/>
        </w:rPr>
      </w:pPr>
      <w:r w:rsidRPr="00FD4277">
        <w:rPr>
          <w:color w:val="000000"/>
        </w:rPr>
        <w:t>КОРРЕКТИРУЮЩЕГО КОЭФФИЦИЕНТА БАЗОВОЙ ДОХОДНОСТИ К2"</w:t>
      </w:r>
    </w:p>
    <w:p w:rsidR="003B00FB" w:rsidRPr="00FD4277" w:rsidRDefault="003B00FB">
      <w:pPr>
        <w:pStyle w:val="ConsPlusTitle"/>
        <w:jc w:val="center"/>
        <w:rPr>
          <w:color w:val="000000"/>
        </w:rPr>
      </w:pPr>
      <w:r w:rsidRPr="00FD4277">
        <w:rPr>
          <w:color w:val="000000"/>
        </w:rPr>
        <w:t>К РЕШЕНИЮ СОЛИКАМСКОЙ ГОРОДСКОЙ ДУМЫ</w:t>
      </w:r>
    </w:p>
    <w:p w:rsidR="003B00FB" w:rsidRPr="00FD4277" w:rsidRDefault="003B00FB">
      <w:pPr>
        <w:pStyle w:val="ConsPlusTitle"/>
        <w:jc w:val="center"/>
        <w:rPr>
          <w:color w:val="000000"/>
        </w:rPr>
      </w:pPr>
      <w:r w:rsidRPr="00FD4277">
        <w:rPr>
          <w:color w:val="000000"/>
        </w:rPr>
        <w:t>ОТ 26 ОКТЯБРЯ 2005 ГОДА N 444 "О СИСТЕМЕ НАЛОГООБЛОЖЕНИЯ</w:t>
      </w:r>
    </w:p>
    <w:p w:rsidR="003B00FB" w:rsidRPr="00FD4277" w:rsidRDefault="003B00FB">
      <w:pPr>
        <w:pStyle w:val="ConsPlusTitle"/>
        <w:jc w:val="center"/>
        <w:rPr>
          <w:color w:val="000000"/>
        </w:rPr>
      </w:pPr>
      <w:r w:rsidRPr="00FD4277">
        <w:rPr>
          <w:color w:val="000000"/>
        </w:rPr>
        <w:t>В ВИДЕ ЕДИНОГО НАЛОГА НА ВМЕНЕННЫЙ ДОХОД ДЛЯ ОТДЕЛЬНЫХ</w:t>
      </w:r>
    </w:p>
    <w:p w:rsidR="003B00FB" w:rsidRPr="00FD4277" w:rsidRDefault="003B00FB">
      <w:pPr>
        <w:pStyle w:val="ConsPlusTitle"/>
        <w:jc w:val="center"/>
        <w:rPr>
          <w:color w:val="000000"/>
        </w:rPr>
      </w:pPr>
      <w:r w:rsidRPr="00FD4277">
        <w:rPr>
          <w:color w:val="000000"/>
        </w:rPr>
        <w:t>ВИДОВ ДЕЯТЕЛЬНОСТИ"</w:t>
      </w:r>
    </w:p>
    <w:p w:rsidR="003B00FB" w:rsidRPr="00FD4277" w:rsidRDefault="003B00FB">
      <w:pPr>
        <w:pStyle w:val="ConsPlusNormal"/>
        <w:ind w:firstLine="540"/>
        <w:jc w:val="both"/>
        <w:rPr>
          <w:color w:val="000000"/>
        </w:rPr>
      </w:pPr>
    </w:p>
    <w:p w:rsidR="003B00FB" w:rsidRPr="00AD15E1" w:rsidRDefault="003B00FB" w:rsidP="00AD15E1">
      <w:pPr>
        <w:pStyle w:val="ConsPlusNormal"/>
        <w:ind w:firstLine="540"/>
        <w:jc w:val="both"/>
        <w:rPr>
          <w:color w:val="000000"/>
        </w:rPr>
      </w:pPr>
      <w:r w:rsidRPr="00AD15E1">
        <w:rPr>
          <w:color w:val="000000"/>
        </w:rPr>
        <w:t>В связи с принятием Федерального закона от 17 июля 2009 г. N 162-ФЗ "О внесении изменений в статью 2 Федерального закона "О применении контрольно-кассовой техники при осуществлении наличных денежных расчетов и(или) расчетов с использованием платежных карт" и отдельные законодательные акты Российской Федерации", в соответствии с пунктом 1 статьи 346.26 Налогового кодекса Российской Федерации, статьей 23 Устава Соликамского городского округа Соликамская городская Дума решила:</w:t>
      </w:r>
    </w:p>
    <w:p w:rsidR="003B00FB" w:rsidRPr="00AD15E1" w:rsidRDefault="003B00FB" w:rsidP="00AD15E1">
      <w:pPr>
        <w:pStyle w:val="ConsPlusNormal"/>
        <w:ind w:firstLine="540"/>
        <w:jc w:val="both"/>
        <w:rPr>
          <w:color w:val="000000"/>
        </w:rPr>
      </w:pPr>
    </w:p>
    <w:p w:rsidR="003B00FB" w:rsidRPr="00AD15E1" w:rsidRDefault="003B00FB" w:rsidP="00AD15E1">
      <w:pPr>
        <w:pStyle w:val="ConsPlusNormal"/>
        <w:ind w:firstLine="540"/>
        <w:jc w:val="both"/>
        <w:rPr>
          <w:color w:val="000000"/>
        </w:rPr>
      </w:pPr>
      <w:r w:rsidRPr="00AD15E1">
        <w:rPr>
          <w:color w:val="000000"/>
        </w:rPr>
        <w:t>1. Внести изменения и дополнения в приложение "Значения корректирующего коэффициента базовой доходности К2" к решению Соликамской городской Думы от 26 октября 2005 года N 444 "О системе налогообложения в виде единого налога на вмененный доход для отдельных видов деятельности":</w:t>
      </w:r>
    </w:p>
    <w:p w:rsidR="003B00FB" w:rsidRPr="00AD15E1" w:rsidRDefault="003B00FB" w:rsidP="00AD15E1">
      <w:pPr>
        <w:pStyle w:val="ConsPlusNormal"/>
        <w:ind w:firstLine="540"/>
        <w:jc w:val="both"/>
        <w:rPr>
          <w:color w:val="000000"/>
        </w:rPr>
      </w:pPr>
      <w:r w:rsidRPr="00AD15E1">
        <w:rPr>
          <w:color w:val="000000"/>
        </w:rPr>
        <w:t>1.1. Пункт 6 изложить в следующей редакции:</w:t>
      </w:r>
    </w:p>
    <w:p w:rsidR="003B00FB" w:rsidRDefault="003B00FB" w:rsidP="00AD15E1">
      <w:pPr>
        <w:pStyle w:val="ConsPlusNormal"/>
        <w:ind w:firstLine="540"/>
        <w:jc w:val="both"/>
        <w:rPr>
          <w:color w:val="000000"/>
        </w:rPr>
      </w:pPr>
      <w:r w:rsidRPr="00AD15E1">
        <w:rPr>
          <w:color w:val="000000"/>
        </w:rPr>
        <w:t>"6. Для вида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устанавливается значение корректирующего коэффициента К2, учитывающего совокупность особенностей ведения предпринимательской деятельности (ассортимент товаров, площадь торгового зала объектов торговли):</w:t>
      </w:r>
    </w:p>
    <w:p w:rsidR="003B00FB" w:rsidRPr="00AD15E1" w:rsidRDefault="003B00FB" w:rsidP="00AD15E1">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45"/>
        <w:gridCol w:w="2943"/>
        <w:gridCol w:w="981"/>
        <w:gridCol w:w="1090"/>
        <w:gridCol w:w="1090"/>
        <w:gridCol w:w="1199"/>
        <w:gridCol w:w="1199"/>
      </w:tblGrid>
      <w:tr w:rsidR="003B00FB" w:rsidRPr="00D52B70">
        <w:trPr>
          <w:trHeight w:val="204"/>
        </w:trPr>
        <w:tc>
          <w:tcPr>
            <w:tcW w:w="545" w:type="dxa"/>
            <w:vMerge w:val="restart"/>
          </w:tcPr>
          <w:p w:rsidR="003B00FB" w:rsidRPr="00FD4277" w:rsidRDefault="003B00FB">
            <w:pPr>
              <w:pStyle w:val="ConsPlusNonformat"/>
              <w:rPr>
                <w:color w:val="000000"/>
              </w:rPr>
            </w:pPr>
            <w:r w:rsidRPr="00FD4277">
              <w:rPr>
                <w:color w:val="000000"/>
                <w:sz w:val="18"/>
              </w:rPr>
              <w:t xml:space="preserve"> N </w:t>
            </w:r>
          </w:p>
          <w:p w:rsidR="003B00FB" w:rsidRPr="00FD4277" w:rsidRDefault="003B00FB">
            <w:pPr>
              <w:pStyle w:val="ConsPlusNonformat"/>
              <w:rPr>
                <w:color w:val="000000"/>
              </w:rPr>
            </w:pPr>
            <w:r w:rsidRPr="00FD4277">
              <w:rPr>
                <w:color w:val="000000"/>
                <w:sz w:val="18"/>
              </w:rPr>
              <w:t>п/п</w:t>
            </w:r>
          </w:p>
        </w:tc>
        <w:tc>
          <w:tcPr>
            <w:tcW w:w="2943" w:type="dxa"/>
            <w:vMerge w:val="restart"/>
          </w:tcPr>
          <w:p w:rsidR="003B00FB" w:rsidRPr="00FD4277" w:rsidRDefault="003B00FB">
            <w:pPr>
              <w:pStyle w:val="ConsPlusNonformat"/>
              <w:rPr>
                <w:color w:val="000000"/>
              </w:rPr>
            </w:pPr>
            <w:r w:rsidRPr="00FD4277">
              <w:rPr>
                <w:color w:val="000000"/>
                <w:sz w:val="18"/>
              </w:rPr>
              <w:t xml:space="preserve">   Ассортимент товаров   </w:t>
            </w:r>
          </w:p>
        </w:tc>
        <w:tc>
          <w:tcPr>
            <w:tcW w:w="5559" w:type="dxa"/>
            <w:gridSpan w:val="5"/>
          </w:tcPr>
          <w:p w:rsidR="003B00FB" w:rsidRPr="00FD4277" w:rsidRDefault="003B00FB">
            <w:pPr>
              <w:pStyle w:val="ConsPlusNonformat"/>
              <w:rPr>
                <w:color w:val="000000"/>
              </w:rPr>
            </w:pPr>
            <w:r w:rsidRPr="00FD4277">
              <w:rPr>
                <w:color w:val="000000"/>
                <w:sz w:val="18"/>
              </w:rPr>
              <w:t xml:space="preserve"> Значения корректирующего коэффициента К2 в  </w:t>
            </w:r>
          </w:p>
          <w:p w:rsidR="003B00FB" w:rsidRPr="00FD4277" w:rsidRDefault="003B00FB">
            <w:pPr>
              <w:pStyle w:val="ConsPlusNonformat"/>
              <w:rPr>
                <w:color w:val="000000"/>
              </w:rPr>
            </w:pPr>
            <w:r w:rsidRPr="00FD4277">
              <w:rPr>
                <w:color w:val="000000"/>
                <w:sz w:val="18"/>
              </w:rPr>
              <w:t xml:space="preserve">    зависимости от площади торгового зала    </w:t>
            </w:r>
          </w:p>
          <w:p w:rsidR="003B00FB" w:rsidRPr="00FD4277" w:rsidRDefault="003B00FB">
            <w:pPr>
              <w:pStyle w:val="ConsPlusNonformat"/>
              <w:rPr>
                <w:color w:val="000000"/>
              </w:rPr>
            </w:pPr>
            <w:r w:rsidRPr="00FD4277">
              <w:rPr>
                <w:color w:val="000000"/>
                <w:sz w:val="18"/>
              </w:rPr>
              <w:t xml:space="preserve">              объектов торговли              </w:t>
            </w:r>
          </w:p>
        </w:tc>
      </w:tr>
      <w:tr w:rsidR="003B00FB" w:rsidRPr="00D52B70">
        <w:tc>
          <w:tcPr>
            <w:tcW w:w="436" w:type="dxa"/>
            <w:vMerge/>
            <w:tcBorders>
              <w:top w:val="nil"/>
            </w:tcBorders>
          </w:tcPr>
          <w:p w:rsidR="003B00FB" w:rsidRPr="00D52B70" w:rsidRDefault="003B00FB">
            <w:pPr>
              <w:rPr>
                <w:color w:val="000000"/>
              </w:rPr>
            </w:pPr>
          </w:p>
        </w:tc>
        <w:tc>
          <w:tcPr>
            <w:tcW w:w="2834" w:type="dxa"/>
            <w:vMerge/>
            <w:tcBorders>
              <w:top w:val="nil"/>
            </w:tcBorders>
          </w:tcPr>
          <w:p w:rsidR="003B00FB" w:rsidRPr="00D52B70" w:rsidRDefault="003B00FB">
            <w:pPr>
              <w:rPr>
                <w:color w:val="000000"/>
              </w:rPr>
            </w:pP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до 6   </w:t>
            </w:r>
          </w:p>
          <w:p w:rsidR="003B00FB" w:rsidRPr="00FD4277" w:rsidRDefault="003B00FB">
            <w:pPr>
              <w:pStyle w:val="ConsPlusNonformat"/>
              <w:rPr>
                <w:color w:val="000000"/>
              </w:rPr>
            </w:pPr>
            <w:r w:rsidRPr="00FD4277">
              <w:rPr>
                <w:color w:val="000000"/>
                <w:sz w:val="18"/>
              </w:rPr>
              <w:t xml:space="preserve">кв. м  </w:t>
            </w:r>
          </w:p>
          <w:p w:rsidR="003B00FB" w:rsidRPr="00FD4277" w:rsidRDefault="003B00FB">
            <w:pPr>
              <w:pStyle w:val="ConsPlusNonformat"/>
              <w:rPr>
                <w:color w:val="000000"/>
              </w:rPr>
            </w:pPr>
            <w:r w:rsidRPr="00FD4277">
              <w:rPr>
                <w:color w:val="000000"/>
                <w:sz w:val="18"/>
              </w:rPr>
              <w:t>включи-</w:t>
            </w:r>
          </w:p>
          <w:p w:rsidR="003B00FB" w:rsidRPr="00FD4277" w:rsidRDefault="003B00FB">
            <w:pPr>
              <w:pStyle w:val="ConsPlusNonformat"/>
              <w:rPr>
                <w:color w:val="000000"/>
              </w:rPr>
            </w:pPr>
            <w:r w:rsidRPr="00FD4277">
              <w:rPr>
                <w:color w:val="000000"/>
                <w:sz w:val="18"/>
              </w:rPr>
              <w:t xml:space="preserve">тельно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от 6 до </w:t>
            </w:r>
          </w:p>
          <w:p w:rsidR="003B00FB" w:rsidRPr="00FD4277" w:rsidRDefault="003B00FB">
            <w:pPr>
              <w:pStyle w:val="ConsPlusNonformat"/>
              <w:rPr>
                <w:color w:val="000000"/>
              </w:rPr>
            </w:pPr>
            <w:smartTag w:uri="urn:schemas-microsoft-com:office:smarttags" w:element="metricconverter">
              <w:smartTagPr>
                <w:attr w:name="ProductID" w:val="150 кв. м"/>
              </w:smartTagPr>
              <w:r w:rsidRPr="00FD4277">
                <w:rPr>
                  <w:color w:val="000000"/>
                  <w:sz w:val="18"/>
                </w:rPr>
                <w:t>15 кв. м</w:t>
              </w:r>
            </w:smartTag>
          </w:p>
          <w:p w:rsidR="003B00FB" w:rsidRPr="00FD4277" w:rsidRDefault="003B00FB">
            <w:pPr>
              <w:pStyle w:val="ConsPlusNonformat"/>
              <w:rPr>
                <w:color w:val="000000"/>
              </w:rPr>
            </w:pPr>
            <w:r w:rsidRPr="00FD4277">
              <w:rPr>
                <w:color w:val="000000"/>
                <w:sz w:val="18"/>
              </w:rPr>
              <w:t xml:space="preserve">включи- </w:t>
            </w:r>
          </w:p>
          <w:p w:rsidR="003B00FB" w:rsidRPr="00FD4277" w:rsidRDefault="003B00FB">
            <w:pPr>
              <w:pStyle w:val="ConsPlusNonformat"/>
              <w:rPr>
                <w:color w:val="000000"/>
              </w:rPr>
            </w:pPr>
            <w:r w:rsidRPr="00FD4277">
              <w:rPr>
                <w:color w:val="000000"/>
                <w:sz w:val="18"/>
              </w:rPr>
              <w:t xml:space="preserve">тельно  </w:t>
            </w:r>
          </w:p>
        </w:tc>
        <w:tc>
          <w:tcPr>
            <w:tcW w:w="1090" w:type="dxa"/>
            <w:tcBorders>
              <w:top w:val="nil"/>
            </w:tcBorders>
          </w:tcPr>
          <w:p w:rsidR="003B00FB" w:rsidRPr="00FD4277" w:rsidRDefault="003B00FB">
            <w:pPr>
              <w:pStyle w:val="ConsPlusNonformat"/>
              <w:rPr>
                <w:color w:val="000000"/>
              </w:rPr>
            </w:pPr>
            <w:r w:rsidRPr="00FD4277">
              <w:rPr>
                <w:color w:val="000000"/>
                <w:sz w:val="18"/>
              </w:rPr>
              <w:t>от 15 до</w:t>
            </w:r>
          </w:p>
          <w:p w:rsidR="003B00FB" w:rsidRPr="00FD4277" w:rsidRDefault="003B00FB">
            <w:pPr>
              <w:pStyle w:val="ConsPlusNonformat"/>
              <w:rPr>
                <w:color w:val="000000"/>
              </w:rPr>
            </w:pPr>
            <w:smartTag w:uri="urn:schemas-microsoft-com:office:smarttags" w:element="metricconverter">
              <w:smartTagPr>
                <w:attr w:name="ProductID" w:val="150 кв. м"/>
              </w:smartTagPr>
              <w:r w:rsidRPr="00FD4277">
                <w:rPr>
                  <w:color w:val="000000"/>
                  <w:sz w:val="18"/>
                </w:rPr>
                <w:t>50 кв. м</w:t>
              </w:r>
            </w:smartTag>
          </w:p>
          <w:p w:rsidR="003B00FB" w:rsidRPr="00FD4277" w:rsidRDefault="003B00FB">
            <w:pPr>
              <w:pStyle w:val="ConsPlusNonformat"/>
              <w:rPr>
                <w:color w:val="000000"/>
              </w:rPr>
            </w:pPr>
            <w:r w:rsidRPr="00FD4277">
              <w:rPr>
                <w:color w:val="000000"/>
                <w:sz w:val="18"/>
              </w:rPr>
              <w:t xml:space="preserve">включи- </w:t>
            </w:r>
          </w:p>
          <w:p w:rsidR="003B00FB" w:rsidRPr="00FD4277" w:rsidRDefault="003B00FB">
            <w:pPr>
              <w:pStyle w:val="ConsPlusNonformat"/>
              <w:rPr>
                <w:color w:val="000000"/>
              </w:rPr>
            </w:pPr>
            <w:r w:rsidRPr="00FD4277">
              <w:rPr>
                <w:color w:val="000000"/>
                <w:sz w:val="18"/>
              </w:rPr>
              <w:t xml:space="preserve">тельно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от 50 до </w:t>
            </w:r>
          </w:p>
          <w:p w:rsidR="003B00FB" w:rsidRPr="00FD4277" w:rsidRDefault="003B00FB">
            <w:pPr>
              <w:pStyle w:val="ConsPlusNonformat"/>
              <w:rPr>
                <w:color w:val="000000"/>
              </w:rPr>
            </w:pPr>
            <w:smartTag w:uri="urn:schemas-microsoft-com:office:smarttags" w:element="metricconverter">
              <w:smartTagPr>
                <w:attr w:name="ProductID" w:val="150 кв. м"/>
              </w:smartTagPr>
              <w:r w:rsidRPr="00FD4277">
                <w:rPr>
                  <w:color w:val="000000"/>
                  <w:sz w:val="18"/>
                </w:rPr>
                <w:t>100 кв. м</w:t>
              </w:r>
            </w:smartTag>
          </w:p>
          <w:p w:rsidR="003B00FB" w:rsidRPr="00FD4277" w:rsidRDefault="003B00FB">
            <w:pPr>
              <w:pStyle w:val="ConsPlusNonformat"/>
              <w:rPr>
                <w:color w:val="000000"/>
              </w:rPr>
            </w:pPr>
            <w:r w:rsidRPr="00FD4277">
              <w:rPr>
                <w:color w:val="000000"/>
                <w:sz w:val="18"/>
              </w:rPr>
              <w:t xml:space="preserve">включи-  </w:t>
            </w:r>
          </w:p>
          <w:p w:rsidR="003B00FB" w:rsidRPr="00FD4277" w:rsidRDefault="003B00FB">
            <w:pPr>
              <w:pStyle w:val="ConsPlusNonformat"/>
              <w:rPr>
                <w:color w:val="000000"/>
              </w:rPr>
            </w:pPr>
            <w:r w:rsidRPr="00FD4277">
              <w:rPr>
                <w:color w:val="000000"/>
                <w:sz w:val="18"/>
              </w:rPr>
              <w:t xml:space="preserve">тельно   </w:t>
            </w:r>
          </w:p>
        </w:tc>
        <w:tc>
          <w:tcPr>
            <w:tcW w:w="1199" w:type="dxa"/>
            <w:tcBorders>
              <w:top w:val="nil"/>
            </w:tcBorders>
          </w:tcPr>
          <w:p w:rsidR="003B00FB" w:rsidRPr="00FD4277" w:rsidRDefault="003B00FB">
            <w:pPr>
              <w:pStyle w:val="ConsPlusNonformat"/>
              <w:rPr>
                <w:color w:val="000000"/>
              </w:rPr>
            </w:pPr>
            <w:r w:rsidRPr="00FD4277">
              <w:rPr>
                <w:color w:val="000000"/>
                <w:sz w:val="18"/>
              </w:rPr>
              <w:t>от 100 до</w:t>
            </w:r>
          </w:p>
          <w:p w:rsidR="003B00FB" w:rsidRPr="00FD4277" w:rsidRDefault="003B00FB">
            <w:pPr>
              <w:pStyle w:val="ConsPlusNonformat"/>
              <w:rPr>
                <w:color w:val="000000"/>
              </w:rPr>
            </w:pPr>
            <w:smartTag w:uri="urn:schemas-microsoft-com:office:smarttags" w:element="metricconverter">
              <w:smartTagPr>
                <w:attr w:name="ProductID" w:val="150 кв. м"/>
              </w:smartTagPr>
              <w:r w:rsidRPr="00FD4277">
                <w:rPr>
                  <w:color w:val="000000"/>
                  <w:sz w:val="18"/>
                </w:rPr>
                <w:t>150 кв. м</w:t>
              </w:r>
            </w:smartTag>
          </w:p>
          <w:p w:rsidR="003B00FB" w:rsidRPr="00FD4277" w:rsidRDefault="003B00FB">
            <w:pPr>
              <w:pStyle w:val="ConsPlusNonformat"/>
              <w:rPr>
                <w:color w:val="000000"/>
              </w:rPr>
            </w:pPr>
            <w:r w:rsidRPr="00FD4277">
              <w:rPr>
                <w:color w:val="000000"/>
                <w:sz w:val="18"/>
              </w:rPr>
              <w:t xml:space="preserve">включи-  </w:t>
            </w:r>
          </w:p>
          <w:p w:rsidR="003B00FB" w:rsidRPr="00FD4277" w:rsidRDefault="003B00FB">
            <w:pPr>
              <w:pStyle w:val="ConsPlusNonformat"/>
              <w:rPr>
                <w:color w:val="000000"/>
              </w:rPr>
            </w:pPr>
            <w:r w:rsidRPr="00FD4277">
              <w:rPr>
                <w:color w:val="000000"/>
                <w:sz w:val="18"/>
              </w:rPr>
              <w:t xml:space="preserve">тельно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1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Ювелирные изделия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0,80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0,90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0,90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1,0    </w:t>
            </w:r>
          </w:p>
        </w:tc>
        <w:tc>
          <w:tcPr>
            <w:tcW w:w="1199" w:type="dxa"/>
            <w:tcBorders>
              <w:top w:val="nil"/>
            </w:tcBorders>
          </w:tcPr>
          <w:p w:rsidR="003B00FB" w:rsidRPr="00FD4277" w:rsidRDefault="003B00FB">
            <w:pPr>
              <w:pStyle w:val="ConsPlusNonformat"/>
              <w:rPr>
                <w:color w:val="000000"/>
              </w:rPr>
            </w:pPr>
            <w:bookmarkStart w:id="0" w:name="P29"/>
            <w:bookmarkEnd w:id="0"/>
            <w:r w:rsidRPr="00FD4277">
              <w:rPr>
                <w:color w:val="000000"/>
                <w:sz w:val="18"/>
              </w:rPr>
              <w:t xml:space="preserve">  1,0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2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Подакцизные товары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1,0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1,0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1,0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1,0    </w:t>
            </w:r>
          </w:p>
        </w:tc>
        <w:tc>
          <w:tcPr>
            <w:tcW w:w="1199" w:type="dxa"/>
            <w:tcBorders>
              <w:top w:val="nil"/>
            </w:tcBorders>
          </w:tcPr>
          <w:p w:rsidR="003B00FB" w:rsidRPr="00FD4277" w:rsidRDefault="003B00FB">
            <w:pPr>
              <w:pStyle w:val="ConsPlusNonformat"/>
              <w:rPr>
                <w:color w:val="000000"/>
              </w:rPr>
            </w:pPr>
            <w:bookmarkStart w:id="1" w:name="P31"/>
            <w:bookmarkEnd w:id="1"/>
            <w:r w:rsidRPr="00FD4277">
              <w:rPr>
                <w:color w:val="000000"/>
                <w:sz w:val="18"/>
              </w:rPr>
              <w:t xml:space="preserve">  1,0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3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Изделия из натурального  </w:t>
            </w:r>
          </w:p>
          <w:p w:rsidR="003B00FB" w:rsidRPr="00FD4277" w:rsidRDefault="003B00FB">
            <w:pPr>
              <w:pStyle w:val="ConsPlusNonformat"/>
              <w:rPr>
                <w:color w:val="000000"/>
              </w:rPr>
            </w:pPr>
            <w:r w:rsidRPr="00FD4277">
              <w:rPr>
                <w:color w:val="000000"/>
                <w:sz w:val="18"/>
              </w:rPr>
              <w:t xml:space="preserve">меха, натуральной кожи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0,60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0,60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0,70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0,80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0,85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4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Мебель; строительные     </w:t>
            </w:r>
          </w:p>
          <w:p w:rsidR="003B00FB" w:rsidRPr="00FD4277" w:rsidRDefault="003B00FB">
            <w:pPr>
              <w:pStyle w:val="ConsPlusNonformat"/>
              <w:rPr>
                <w:color w:val="000000"/>
              </w:rPr>
            </w:pPr>
            <w:r w:rsidRPr="00FD4277">
              <w:rPr>
                <w:color w:val="000000"/>
                <w:sz w:val="18"/>
              </w:rPr>
              <w:t xml:space="preserve">товары (лесоматериалы;   </w:t>
            </w:r>
          </w:p>
          <w:p w:rsidR="003B00FB" w:rsidRPr="00FD4277" w:rsidRDefault="003B00FB">
            <w:pPr>
              <w:pStyle w:val="ConsPlusNonformat"/>
              <w:rPr>
                <w:color w:val="000000"/>
              </w:rPr>
            </w:pPr>
            <w:r w:rsidRPr="00FD4277">
              <w:rPr>
                <w:color w:val="000000"/>
                <w:sz w:val="18"/>
              </w:rPr>
              <w:t xml:space="preserve">пиломатериалы; стеновые  </w:t>
            </w:r>
          </w:p>
          <w:p w:rsidR="003B00FB" w:rsidRPr="00FD4277" w:rsidRDefault="003B00FB">
            <w:pPr>
              <w:pStyle w:val="ConsPlusNonformat"/>
              <w:rPr>
                <w:color w:val="000000"/>
              </w:rPr>
            </w:pPr>
            <w:r w:rsidRPr="00FD4277">
              <w:rPr>
                <w:color w:val="000000"/>
                <w:sz w:val="18"/>
              </w:rPr>
              <w:t xml:space="preserve">материалы, вяжущие       </w:t>
            </w:r>
          </w:p>
          <w:p w:rsidR="003B00FB" w:rsidRPr="00FD4277" w:rsidRDefault="003B00FB">
            <w:pPr>
              <w:pStyle w:val="ConsPlusNonformat"/>
              <w:rPr>
                <w:color w:val="000000"/>
              </w:rPr>
            </w:pPr>
            <w:r w:rsidRPr="00FD4277">
              <w:rPr>
                <w:color w:val="000000"/>
                <w:sz w:val="18"/>
              </w:rPr>
              <w:t xml:space="preserve">вещества; материалы:     </w:t>
            </w:r>
          </w:p>
          <w:p w:rsidR="003B00FB" w:rsidRPr="00FD4277" w:rsidRDefault="003B00FB">
            <w:pPr>
              <w:pStyle w:val="ConsPlusNonformat"/>
              <w:rPr>
                <w:color w:val="000000"/>
              </w:rPr>
            </w:pPr>
            <w:r w:rsidRPr="00FD4277">
              <w:rPr>
                <w:color w:val="000000"/>
                <w:sz w:val="18"/>
              </w:rPr>
              <w:t>кровельные, изоляционные,</w:t>
            </w:r>
          </w:p>
          <w:p w:rsidR="003B00FB" w:rsidRPr="00FD4277" w:rsidRDefault="003B00FB">
            <w:pPr>
              <w:pStyle w:val="ConsPlusNonformat"/>
              <w:rPr>
                <w:color w:val="000000"/>
              </w:rPr>
            </w:pPr>
            <w:r w:rsidRPr="00FD4277">
              <w:rPr>
                <w:color w:val="000000"/>
                <w:sz w:val="18"/>
              </w:rPr>
              <w:t xml:space="preserve">для облицовки и отделки, </w:t>
            </w:r>
          </w:p>
          <w:p w:rsidR="003B00FB" w:rsidRPr="00FD4277" w:rsidRDefault="003B00FB">
            <w:pPr>
              <w:pStyle w:val="ConsPlusNonformat"/>
              <w:rPr>
                <w:color w:val="000000"/>
              </w:rPr>
            </w:pPr>
            <w:r w:rsidRPr="00FD4277">
              <w:rPr>
                <w:color w:val="000000"/>
                <w:sz w:val="18"/>
              </w:rPr>
              <w:t xml:space="preserve">для остекления окон и    </w:t>
            </w:r>
          </w:p>
          <w:p w:rsidR="003B00FB" w:rsidRPr="00FD4277" w:rsidRDefault="003B00FB">
            <w:pPr>
              <w:pStyle w:val="ConsPlusNonformat"/>
              <w:rPr>
                <w:color w:val="000000"/>
              </w:rPr>
            </w:pPr>
            <w:r w:rsidRPr="00FD4277">
              <w:rPr>
                <w:color w:val="000000"/>
                <w:sz w:val="18"/>
              </w:rPr>
              <w:t xml:space="preserve">дверей, для пола;        </w:t>
            </w:r>
          </w:p>
          <w:p w:rsidR="003B00FB" w:rsidRPr="00FD4277" w:rsidRDefault="003B00FB">
            <w:pPr>
              <w:pStyle w:val="ConsPlusNonformat"/>
              <w:rPr>
                <w:color w:val="000000"/>
              </w:rPr>
            </w:pPr>
            <w:r w:rsidRPr="00FD4277">
              <w:rPr>
                <w:color w:val="000000"/>
                <w:sz w:val="18"/>
              </w:rPr>
              <w:t xml:space="preserve">оборудование санитарно-  </w:t>
            </w:r>
          </w:p>
          <w:p w:rsidR="003B00FB" w:rsidRPr="00FD4277" w:rsidRDefault="003B00FB">
            <w:pPr>
              <w:pStyle w:val="ConsPlusNonformat"/>
              <w:rPr>
                <w:color w:val="000000"/>
              </w:rPr>
            </w:pPr>
            <w:r w:rsidRPr="00FD4277">
              <w:rPr>
                <w:color w:val="000000"/>
                <w:sz w:val="18"/>
              </w:rPr>
              <w:t xml:space="preserve">техническое)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0,50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0,50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0,60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0,65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0,70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5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Лекарственные средства,  </w:t>
            </w:r>
          </w:p>
          <w:p w:rsidR="003B00FB" w:rsidRPr="00FD4277" w:rsidRDefault="003B00FB">
            <w:pPr>
              <w:pStyle w:val="ConsPlusNonformat"/>
              <w:rPr>
                <w:color w:val="000000"/>
              </w:rPr>
            </w:pPr>
            <w:r w:rsidRPr="00FD4277">
              <w:rPr>
                <w:color w:val="000000"/>
                <w:sz w:val="18"/>
              </w:rPr>
              <w:t xml:space="preserve">товары медицинского      </w:t>
            </w:r>
          </w:p>
          <w:p w:rsidR="003B00FB" w:rsidRPr="00FD4277" w:rsidRDefault="003B00FB">
            <w:pPr>
              <w:pStyle w:val="ConsPlusNonformat"/>
              <w:rPr>
                <w:color w:val="000000"/>
              </w:rPr>
            </w:pPr>
            <w:r w:rsidRPr="00FD4277">
              <w:rPr>
                <w:color w:val="000000"/>
                <w:sz w:val="18"/>
              </w:rPr>
              <w:t xml:space="preserve">назначения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0,60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0,65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0,75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0,80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0,85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6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Детские товары; изделия  </w:t>
            </w:r>
          </w:p>
          <w:p w:rsidR="003B00FB" w:rsidRPr="00FD4277" w:rsidRDefault="003B00FB">
            <w:pPr>
              <w:pStyle w:val="ConsPlusNonformat"/>
              <w:rPr>
                <w:color w:val="000000"/>
              </w:rPr>
            </w:pPr>
            <w:r w:rsidRPr="00FD4277">
              <w:rPr>
                <w:color w:val="000000"/>
                <w:sz w:val="18"/>
              </w:rPr>
              <w:t xml:space="preserve">народных художественных  </w:t>
            </w:r>
          </w:p>
          <w:p w:rsidR="003B00FB" w:rsidRPr="00FD4277" w:rsidRDefault="003B00FB">
            <w:pPr>
              <w:pStyle w:val="ConsPlusNonformat"/>
              <w:rPr>
                <w:color w:val="000000"/>
              </w:rPr>
            </w:pPr>
            <w:r w:rsidRPr="00FD4277">
              <w:rPr>
                <w:color w:val="000000"/>
                <w:sz w:val="18"/>
              </w:rPr>
              <w:t xml:space="preserve">промыслов; предметы      </w:t>
            </w:r>
          </w:p>
          <w:p w:rsidR="003B00FB" w:rsidRPr="00FD4277" w:rsidRDefault="003B00FB">
            <w:pPr>
              <w:pStyle w:val="ConsPlusNonformat"/>
              <w:rPr>
                <w:color w:val="000000"/>
              </w:rPr>
            </w:pPr>
            <w:r w:rsidRPr="00FD4277">
              <w:rPr>
                <w:color w:val="000000"/>
                <w:sz w:val="18"/>
              </w:rPr>
              <w:t xml:space="preserve">культа и религиозного    </w:t>
            </w:r>
          </w:p>
          <w:p w:rsidR="003B00FB" w:rsidRPr="00FD4277" w:rsidRDefault="003B00FB">
            <w:pPr>
              <w:pStyle w:val="ConsPlusNonformat"/>
              <w:rPr>
                <w:color w:val="000000"/>
              </w:rPr>
            </w:pPr>
            <w:r w:rsidRPr="00FD4277">
              <w:rPr>
                <w:color w:val="000000"/>
                <w:sz w:val="18"/>
              </w:rPr>
              <w:t xml:space="preserve">назначения (кроме        </w:t>
            </w:r>
          </w:p>
          <w:p w:rsidR="003B00FB" w:rsidRPr="00FD4277" w:rsidRDefault="003B00FB">
            <w:pPr>
              <w:pStyle w:val="ConsPlusNonformat"/>
              <w:rPr>
                <w:color w:val="000000"/>
              </w:rPr>
            </w:pPr>
            <w:r w:rsidRPr="00FD4277">
              <w:rPr>
                <w:color w:val="000000"/>
                <w:sz w:val="18"/>
              </w:rPr>
              <w:t xml:space="preserve">изделий из драгоценных   </w:t>
            </w:r>
          </w:p>
          <w:p w:rsidR="003B00FB" w:rsidRPr="00FD4277" w:rsidRDefault="003B00FB">
            <w:pPr>
              <w:pStyle w:val="ConsPlusNonformat"/>
              <w:rPr>
                <w:color w:val="000000"/>
              </w:rPr>
            </w:pPr>
            <w:r w:rsidRPr="00FD4277">
              <w:rPr>
                <w:color w:val="000000"/>
                <w:sz w:val="18"/>
              </w:rPr>
              <w:t xml:space="preserve">металлов и драгоценных   </w:t>
            </w:r>
          </w:p>
          <w:p w:rsidR="003B00FB" w:rsidRPr="00FD4277" w:rsidRDefault="003B00FB">
            <w:pPr>
              <w:pStyle w:val="ConsPlusNonformat"/>
              <w:rPr>
                <w:color w:val="000000"/>
              </w:rPr>
            </w:pPr>
            <w:r w:rsidRPr="00FD4277">
              <w:rPr>
                <w:color w:val="000000"/>
                <w:sz w:val="18"/>
              </w:rPr>
              <w:t xml:space="preserve">камней); книжная         </w:t>
            </w:r>
          </w:p>
          <w:p w:rsidR="003B00FB" w:rsidRPr="00FD4277" w:rsidRDefault="003B00FB">
            <w:pPr>
              <w:pStyle w:val="ConsPlusNonformat"/>
              <w:rPr>
                <w:color w:val="000000"/>
              </w:rPr>
            </w:pPr>
            <w:r w:rsidRPr="00FD4277">
              <w:rPr>
                <w:color w:val="000000"/>
                <w:sz w:val="18"/>
              </w:rPr>
              <w:t>продукция и периодические</w:t>
            </w:r>
          </w:p>
          <w:p w:rsidR="003B00FB" w:rsidRPr="00FD4277" w:rsidRDefault="003B00FB">
            <w:pPr>
              <w:pStyle w:val="ConsPlusNonformat"/>
              <w:rPr>
                <w:color w:val="000000"/>
              </w:rPr>
            </w:pPr>
            <w:r w:rsidRPr="00FD4277">
              <w:rPr>
                <w:color w:val="000000"/>
                <w:sz w:val="18"/>
              </w:rPr>
              <w:t xml:space="preserve">издания (кроме продукции </w:t>
            </w:r>
          </w:p>
          <w:p w:rsidR="003B00FB" w:rsidRPr="00FD4277" w:rsidRDefault="003B00FB">
            <w:pPr>
              <w:pStyle w:val="ConsPlusNonformat"/>
              <w:rPr>
                <w:color w:val="000000"/>
              </w:rPr>
            </w:pPr>
            <w:r w:rsidRPr="00FD4277">
              <w:rPr>
                <w:color w:val="000000"/>
                <w:sz w:val="18"/>
              </w:rPr>
              <w:t>рекламного и эротического</w:t>
            </w:r>
          </w:p>
          <w:p w:rsidR="003B00FB" w:rsidRPr="00FD4277" w:rsidRDefault="003B00FB">
            <w:pPr>
              <w:pStyle w:val="ConsPlusNonformat"/>
              <w:rPr>
                <w:color w:val="000000"/>
              </w:rPr>
            </w:pPr>
            <w:r w:rsidRPr="00FD4277">
              <w:rPr>
                <w:color w:val="000000"/>
                <w:sz w:val="18"/>
              </w:rPr>
              <w:t xml:space="preserve">характера); канцелярские </w:t>
            </w:r>
          </w:p>
          <w:p w:rsidR="003B00FB" w:rsidRPr="00FD4277" w:rsidRDefault="003B00FB">
            <w:pPr>
              <w:pStyle w:val="ConsPlusNonformat"/>
              <w:rPr>
                <w:color w:val="000000"/>
              </w:rPr>
            </w:pPr>
            <w:r w:rsidRPr="00FD4277">
              <w:rPr>
                <w:color w:val="000000"/>
                <w:sz w:val="18"/>
              </w:rPr>
              <w:t xml:space="preserve">товары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0,30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0,35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0,50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0,55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0,60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7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Бытовая радиоэлектронная </w:t>
            </w:r>
          </w:p>
          <w:p w:rsidR="003B00FB" w:rsidRPr="00FD4277" w:rsidRDefault="003B00FB">
            <w:pPr>
              <w:pStyle w:val="ConsPlusNonformat"/>
              <w:rPr>
                <w:color w:val="000000"/>
              </w:rPr>
            </w:pPr>
            <w:r w:rsidRPr="00FD4277">
              <w:rPr>
                <w:color w:val="000000"/>
                <w:sz w:val="18"/>
              </w:rPr>
              <w:t>аппаратура, радиоприемная</w:t>
            </w:r>
          </w:p>
          <w:p w:rsidR="003B00FB" w:rsidRPr="00FD4277" w:rsidRDefault="003B00FB">
            <w:pPr>
              <w:pStyle w:val="ConsPlusNonformat"/>
              <w:rPr>
                <w:color w:val="000000"/>
              </w:rPr>
            </w:pPr>
            <w:r w:rsidRPr="00FD4277">
              <w:rPr>
                <w:color w:val="000000"/>
                <w:sz w:val="18"/>
              </w:rPr>
              <w:t xml:space="preserve">аппаратура, аппаратура   </w:t>
            </w:r>
          </w:p>
          <w:p w:rsidR="003B00FB" w:rsidRPr="00FD4277" w:rsidRDefault="003B00FB">
            <w:pPr>
              <w:pStyle w:val="ConsPlusNonformat"/>
              <w:rPr>
                <w:color w:val="000000"/>
              </w:rPr>
            </w:pPr>
            <w:r w:rsidRPr="00FD4277">
              <w:rPr>
                <w:color w:val="000000"/>
                <w:sz w:val="18"/>
              </w:rPr>
              <w:t>для воспроизведения звука</w:t>
            </w:r>
          </w:p>
          <w:p w:rsidR="003B00FB" w:rsidRPr="00FD4277" w:rsidRDefault="003B00FB">
            <w:pPr>
              <w:pStyle w:val="ConsPlusNonformat"/>
              <w:rPr>
                <w:color w:val="000000"/>
              </w:rPr>
            </w:pPr>
            <w:r w:rsidRPr="00FD4277">
              <w:rPr>
                <w:color w:val="000000"/>
                <w:sz w:val="18"/>
              </w:rPr>
              <w:t xml:space="preserve">и изображения,           </w:t>
            </w:r>
          </w:p>
          <w:p w:rsidR="003B00FB" w:rsidRPr="00FD4277" w:rsidRDefault="003B00FB">
            <w:pPr>
              <w:pStyle w:val="ConsPlusNonformat"/>
              <w:rPr>
                <w:color w:val="000000"/>
              </w:rPr>
            </w:pPr>
            <w:r w:rsidRPr="00FD4277">
              <w:rPr>
                <w:color w:val="000000"/>
                <w:sz w:val="18"/>
              </w:rPr>
              <w:t xml:space="preserve">телеприемная аппаратура, </w:t>
            </w:r>
          </w:p>
          <w:p w:rsidR="003B00FB" w:rsidRPr="00FD4277" w:rsidRDefault="003B00FB">
            <w:pPr>
              <w:pStyle w:val="ConsPlusNonformat"/>
              <w:rPr>
                <w:color w:val="000000"/>
              </w:rPr>
            </w:pPr>
            <w:r w:rsidRPr="00FD4277">
              <w:rPr>
                <w:color w:val="000000"/>
                <w:sz w:val="18"/>
              </w:rPr>
              <w:t xml:space="preserve">звукоусилительная        </w:t>
            </w:r>
          </w:p>
          <w:p w:rsidR="003B00FB" w:rsidRPr="00FD4277" w:rsidRDefault="003B00FB">
            <w:pPr>
              <w:pStyle w:val="ConsPlusNonformat"/>
              <w:rPr>
                <w:color w:val="000000"/>
              </w:rPr>
            </w:pPr>
            <w:r w:rsidRPr="00FD4277">
              <w:rPr>
                <w:color w:val="000000"/>
                <w:sz w:val="18"/>
              </w:rPr>
              <w:t xml:space="preserve">аппаратура;              </w:t>
            </w:r>
          </w:p>
          <w:p w:rsidR="003B00FB" w:rsidRPr="00FD4277" w:rsidRDefault="003B00FB">
            <w:pPr>
              <w:pStyle w:val="ConsPlusNonformat"/>
              <w:rPr>
                <w:color w:val="000000"/>
              </w:rPr>
            </w:pPr>
            <w:r w:rsidRPr="00FD4277">
              <w:rPr>
                <w:color w:val="000000"/>
                <w:sz w:val="18"/>
              </w:rPr>
              <w:t xml:space="preserve">фотокинотовары;          </w:t>
            </w:r>
          </w:p>
          <w:p w:rsidR="003B00FB" w:rsidRPr="00FD4277" w:rsidRDefault="003B00FB">
            <w:pPr>
              <w:pStyle w:val="ConsPlusNonformat"/>
              <w:rPr>
                <w:color w:val="000000"/>
              </w:rPr>
            </w:pPr>
            <w:r w:rsidRPr="00FD4277">
              <w:rPr>
                <w:color w:val="000000"/>
                <w:sz w:val="18"/>
              </w:rPr>
              <w:t xml:space="preserve">музыкальные товары;      </w:t>
            </w:r>
          </w:p>
          <w:p w:rsidR="003B00FB" w:rsidRPr="00FD4277" w:rsidRDefault="003B00FB">
            <w:pPr>
              <w:pStyle w:val="ConsPlusNonformat"/>
              <w:rPr>
                <w:color w:val="000000"/>
              </w:rPr>
            </w:pPr>
            <w:r w:rsidRPr="00FD4277">
              <w:rPr>
                <w:color w:val="000000"/>
                <w:sz w:val="18"/>
              </w:rPr>
              <w:t xml:space="preserve">товары для спорта,       </w:t>
            </w:r>
          </w:p>
          <w:p w:rsidR="003B00FB" w:rsidRPr="00FD4277" w:rsidRDefault="003B00FB">
            <w:pPr>
              <w:pStyle w:val="ConsPlusNonformat"/>
              <w:rPr>
                <w:color w:val="000000"/>
              </w:rPr>
            </w:pPr>
            <w:r w:rsidRPr="00FD4277">
              <w:rPr>
                <w:color w:val="000000"/>
                <w:sz w:val="18"/>
              </w:rPr>
              <w:t xml:space="preserve">туризма, охоты, рыбной   </w:t>
            </w:r>
          </w:p>
          <w:p w:rsidR="003B00FB" w:rsidRPr="00FD4277" w:rsidRDefault="003B00FB">
            <w:pPr>
              <w:pStyle w:val="ConsPlusNonformat"/>
              <w:rPr>
                <w:color w:val="000000"/>
              </w:rPr>
            </w:pPr>
            <w:r w:rsidRPr="00FD4277">
              <w:rPr>
                <w:color w:val="000000"/>
                <w:sz w:val="18"/>
              </w:rPr>
              <w:t xml:space="preserve">ловли; компьютеры,       </w:t>
            </w:r>
          </w:p>
          <w:p w:rsidR="003B00FB" w:rsidRPr="00FD4277" w:rsidRDefault="003B00FB">
            <w:pPr>
              <w:pStyle w:val="ConsPlusNonformat"/>
              <w:rPr>
                <w:color w:val="000000"/>
              </w:rPr>
            </w:pPr>
            <w:r w:rsidRPr="00FD4277">
              <w:rPr>
                <w:color w:val="000000"/>
                <w:sz w:val="18"/>
              </w:rPr>
              <w:t xml:space="preserve">средства оргтехники;     </w:t>
            </w:r>
          </w:p>
          <w:p w:rsidR="003B00FB" w:rsidRPr="00FD4277" w:rsidRDefault="003B00FB">
            <w:pPr>
              <w:pStyle w:val="ConsPlusNonformat"/>
              <w:rPr>
                <w:color w:val="000000"/>
              </w:rPr>
            </w:pPr>
            <w:r w:rsidRPr="00FD4277">
              <w:rPr>
                <w:color w:val="000000"/>
                <w:sz w:val="18"/>
              </w:rPr>
              <w:t xml:space="preserve">электробытовые товары;   </w:t>
            </w:r>
          </w:p>
          <w:p w:rsidR="003B00FB" w:rsidRPr="00FD4277" w:rsidRDefault="003B00FB">
            <w:pPr>
              <w:pStyle w:val="ConsPlusNonformat"/>
              <w:rPr>
                <w:color w:val="000000"/>
              </w:rPr>
            </w:pPr>
            <w:r w:rsidRPr="00FD4277">
              <w:rPr>
                <w:color w:val="000000"/>
                <w:sz w:val="18"/>
              </w:rPr>
              <w:t xml:space="preserve">бытовая техника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0,55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0,60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0,70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0,75   </w:t>
            </w:r>
          </w:p>
        </w:tc>
        <w:tc>
          <w:tcPr>
            <w:tcW w:w="1199" w:type="dxa"/>
            <w:tcBorders>
              <w:top w:val="nil"/>
            </w:tcBorders>
          </w:tcPr>
          <w:p w:rsidR="003B00FB" w:rsidRPr="00FD4277" w:rsidRDefault="003B00FB">
            <w:pPr>
              <w:pStyle w:val="ConsPlusNonformat"/>
              <w:rPr>
                <w:color w:val="000000"/>
              </w:rPr>
            </w:pPr>
            <w:bookmarkStart w:id="2" w:name="P66"/>
            <w:bookmarkEnd w:id="2"/>
            <w:r w:rsidRPr="00FD4277">
              <w:rPr>
                <w:color w:val="000000"/>
                <w:sz w:val="18"/>
              </w:rPr>
              <w:t xml:space="preserve">  0,80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8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Прочие                   </w:t>
            </w:r>
          </w:p>
          <w:p w:rsidR="003B00FB" w:rsidRPr="00FD4277" w:rsidRDefault="003B00FB">
            <w:pPr>
              <w:pStyle w:val="ConsPlusNonformat"/>
              <w:rPr>
                <w:color w:val="000000"/>
              </w:rPr>
            </w:pPr>
            <w:r w:rsidRPr="00FD4277">
              <w:rPr>
                <w:color w:val="000000"/>
                <w:sz w:val="18"/>
              </w:rPr>
              <w:t xml:space="preserve">непродовольственные      </w:t>
            </w:r>
          </w:p>
          <w:p w:rsidR="003B00FB" w:rsidRPr="00FD4277" w:rsidRDefault="003B00FB">
            <w:pPr>
              <w:pStyle w:val="ConsPlusNonformat"/>
              <w:rPr>
                <w:color w:val="000000"/>
              </w:rPr>
            </w:pPr>
            <w:r w:rsidRPr="00FD4277">
              <w:rPr>
                <w:color w:val="000000"/>
                <w:sz w:val="18"/>
              </w:rPr>
              <w:t xml:space="preserve">товары (за исключением   </w:t>
            </w:r>
          </w:p>
          <w:p w:rsidR="003B00FB" w:rsidRPr="00FD4277" w:rsidRDefault="003B00FB">
            <w:pPr>
              <w:pStyle w:val="ConsPlusNonformat"/>
              <w:rPr>
                <w:color w:val="000000"/>
              </w:rPr>
            </w:pPr>
            <w:r w:rsidRPr="00FD4277">
              <w:rPr>
                <w:color w:val="000000"/>
                <w:sz w:val="18"/>
              </w:rPr>
              <w:t xml:space="preserve">товаров, указанных в     </w:t>
            </w:r>
          </w:p>
          <w:p w:rsidR="003B00FB" w:rsidRPr="00FD4277" w:rsidRDefault="003B00FB">
            <w:pPr>
              <w:pStyle w:val="ConsPlusNonformat"/>
              <w:rPr>
                <w:color w:val="000000"/>
              </w:rPr>
            </w:pPr>
            <w:hyperlink w:anchor="P29" w:history="1">
              <w:r w:rsidRPr="00FD4277">
                <w:rPr>
                  <w:color w:val="000000"/>
                  <w:sz w:val="18"/>
                </w:rPr>
                <w:t>пунктах 1</w:t>
              </w:r>
            </w:hyperlink>
            <w:r w:rsidRPr="00FD4277">
              <w:rPr>
                <w:color w:val="000000"/>
                <w:sz w:val="18"/>
              </w:rPr>
              <w:t>-</w:t>
            </w:r>
            <w:hyperlink w:anchor="P66" w:history="1">
              <w:r w:rsidRPr="00FD4277">
                <w:rPr>
                  <w:color w:val="000000"/>
                  <w:sz w:val="18"/>
                </w:rPr>
                <w:t>7</w:t>
              </w:r>
            </w:hyperlink>
            <w:r w:rsidRPr="00FD4277">
              <w:rPr>
                <w:color w:val="000000"/>
                <w:sz w:val="18"/>
              </w:rPr>
              <w:t xml:space="preserve"> настоящей    </w:t>
            </w:r>
          </w:p>
          <w:p w:rsidR="003B00FB" w:rsidRPr="00FD4277" w:rsidRDefault="003B00FB">
            <w:pPr>
              <w:pStyle w:val="ConsPlusNonformat"/>
              <w:rPr>
                <w:color w:val="000000"/>
              </w:rPr>
            </w:pPr>
            <w:r w:rsidRPr="00FD4277">
              <w:rPr>
                <w:color w:val="000000"/>
                <w:sz w:val="18"/>
              </w:rPr>
              <w:t xml:space="preserve">таблицы)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0,40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0,45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0,60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0,65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0,70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 9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Продовольственные товары </w:t>
            </w:r>
          </w:p>
          <w:p w:rsidR="003B00FB" w:rsidRPr="00FD4277" w:rsidRDefault="003B00FB">
            <w:pPr>
              <w:pStyle w:val="ConsPlusNonformat"/>
              <w:rPr>
                <w:color w:val="000000"/>
              </w:rPr>
            </w:pPr>
            <w:r w:rsidRPr="00FD4277">
              <w:rPr>
                <w:color w:val="000000"/>
                <w:sz w:val="18"/>
              </w:rPr>
              <w:t xml:space="preserve">(за исключением товаров, </w:t>
            </w:r>
          </w:p>
          <w:p w:rsidR="003B00FB" w:rsidRPr="00FD4277" w:rsidRDefault="003B00FB">
            <w:pPr>
              <w:pStyle w:val="ConsPlusNonformat"/>
              <w:rPr>
                <w:color w:val="000000"/>
              </w:rPr>
            </w:pPr>
            <w:r w:rsidRPr="00FD4277">
              <w:rPr>
                <w:color w:val="000000"/>
                <w:sz w:val="18"/>
              </w:rPr>
              <w:t xml:space="preserve">указанных в </w:t>
            </w:r>
            <w:hyperlink w:anchor="P31" w:history="1">
              <w:r w:rsidRPr="00FD4277">
                <w:rPr>
                  <w:color w:val="000000"/>
                  <w:sz w:val="18"/>
                </w:rPr>
                <w:t>п. 2</w:t>
              </w:r>
            </w:hyperlink>
          </w:p>
          <w:p w:rsidR="003B00FB" w:rsidRPr="00FD4277" w:rsidRDefault="003B00FB">
            <w:pPr>
              <w:pStyle w:val="ConsPlusNonformat"/>
              <w:rPr>
                <w:color w:val="000000"/>
              </w:rPr>
            </w:pPr>
            <w:r w:rsidRPr="00FD4277">
              <w:rPr>
                <w:color w:val="000000"/>
                <w:sz w:val="18"/>
              </w:rPr>
              <w:t xml:space="preserve">настоящей таблицы)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0,40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0,40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0,55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0,62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0,68   </w:t>
            </w:r>
          </w:p>
        </w:tc>
      </w:tr>
      <w:tr w:rsidR="003B00FB" w:rsidRPr="00D52B70">
        <w:trPr>
          <w:trHeight w:val="204"/>
        </w:trPr>
        <w:tc>
          <w:tcPr>
            <w:tcW w:w="545" w:type="dxa"/>
            <w:tcBorders>
              <w:top w:val="nil"/>
            </w:tcBorders>
          </w:tcPr>
          <w:p w:rsidR="003B00FB" w:rsidRPr="00FD4277" w:rsidRDefault="003B00FB">
            <w:pPr>
              <w:pStyle w:val="ConsPlusNonformat"/>
              <w:rPr>
                <w:color w:val="000000"/>
              </w:rPr>
            </w:pPr>
            <w:r w:rsidRPr="00FD4277">
              <w:rPr>
                <w:color w:val="000000"/>
                <w:sz w:val="18"/>
              </w:rPr>
              <w:t xml:space="preserve">10 </w:t>
            </w:r>
          </w:p>
        </w:tc>
        <w:tc>
          <w:tcPr>
            <w:tcW w:w="2943" w:type="dxa"/>
            <w:tcBorders>
              <w:top w:val="nil"/>
            </w:tcBorders>
          </w:tcPr>
          <w:p w:rsidR="003B00FB" w:rsidRPr="00FD4277" w:rsidRDefault="003B00FB">
            <w:pPr>
              <w:pStyle w:val="ConsPlusNonformat"/>
              <w:rPr>
                <w:color w:val="000000"/>
              </w:rPr>
            </w:pPr>
            <w:r w:rsidRPr="00FD4277">
              <w:rPr>
                <w:color w:val="000000"/>
                <w:sz w:val="18"/>
              </w:rPr>
              <w:t xml:space="preserve">Продовольственные и      </w:t>
            </w:r>
          </w:p>
          <w:p w:rsidR="003B00FB" w:rsidRPr="00FD4277" w:rsidRDefault="003B00FB">
            <w:pPr>
              <w:pStyle w:val="ConsPlusNonformat"/>
              <w:rPr>
                <w:color w:val="000000"/>
              </w:rPr>
            </w:pPr>
            <w:r w:rsidRPr="00FD4277">
              <w:rPr>
                <w:color w:val="000000"/>
                <w:sz w:val="18"/>
              </w:rPr>
              <w:t xml:space="preserve">непродовольственные      </w:t>
            </w:r>
          </w:p>
          <w:p w:rsidR="003B00FB" w:rsidRPr="00FD4277" w:rsidRDefault="003B00FB">
            <w:pPr>
              <w:pStyle w:val="ConsPlusNonformat"/>
              <w:rPr>
                <w:color w:val="000000"/>
              </w:rPr>
            </w:pPr>
            <w:r w:rsidRPr="00FD4277">
              <w:rPr>
                <w:color w:val="000000"/>
                <w:sz w:val="18"/>
              </w:rPr>
              <w:t xml:space="preserve">товары (за исключением   </w:t>
            </w:r>
          </w:p>
          <w:p w:rsidR="003B00FB" w:rsidRPr="00FD4277" w:rsidRDefault="003B00FB">
            <w:pPr>
              <w:pStyle w:val="ConsPlusNonformat"/>
              <w:rPr>
                <w:color w:val="000000"/>
              </w:rPr>
            </w:pPr>
            <w:r w:rsidRPr="00FD4277">
              <w:rPr>
                <w:color w:val="000000"/>
                <w:sz w:val="18"/>
              </w:rPr>
              <w:t xml:space="preserve">товаров, указанных в п.  </w:t>
            </w:r>
          </w:p>
          <w:p w:rsidR="003B00FB" w:rsidRPr="00FD4277" w:rsidRDefault="003B00FB">
            <w:pPr>
              <w:pStyle w:val="ConsPlusNonformat"/>
              <w:rPr>
                <w:color w:val="000000"/>
              </w:rPr>
            </w:pPr>
            <w:hyperlink w:anchor="P29" w:history="1">
              <w:r w:rsidRPr="00FD4277">
                <w:rPr>
                  <w:color w:val="000000"/>
                  <w:sz w:val="18"/>
                </w:rPr>
                <w:t>1</w:t>
              </w:r>
            </w:hyperlink>
            <w:r w:rsidRPr="00FD4277">
              <w:rPr>
                <w:color w:val="000000"/>
                <w:sz w:val="18"/>
              </w:rPr>
              <w:t xml:space="preserve">, </w:t>
            </w:r>
            <w:hyperlink w:anchor="P31" w:history="1">
              <w:r w:rsidRPr="00FD4277">
                <w:rPr>
                  <w:color w:val="000000"/>
                  <w:sz w:val="18"/>
                </w:rPr>
                <w:t>2</w:t>
              </w:r>
            </w:hyperlink>
            <w:r w:rsidRPr="00FD4277">
              <w:rPr>
                <w:color w:val="000000"/>
                <w:sz w:val="18"/>
              </w:rPr>
              <w:t xml:space="preserve"> настоящей таблицы)  </w:t>
            </w:r>
          </w:p>
        </w:tc>
        <w:tc>
          <w:tcPr>
            <w:tcW w:w="981" w:type="dxa"/>
            <w:tcBorders>
              <w:top w:val="nil"/>
            </w:tcBorders>
          </w:tcPr>
          <w:p w:rsidR="003B00FB" w:rsidRPr="00FD4277" w:rsidRDefault="003B00FB">
            <w:pPr>
              <w:pStyle w:val="ConsPlusNonformat"/>
              <w:rPr>
                <w:color w:val="000000"/>
              </w:rPr>
            </w:pPr>
            <w:r w:rsidRPr="00FD4277">
              <w:rPr>
                <w:color w:val="000000"/>
                <w:sz w:val="18"/>
              </w:rPr>
              <w:t xml:space="preserve"> 0,47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0,50  </w:t>
            </w:r>
          </w:p>
        </w:tc>
        <w:tc>
          <w:tcPr>
            <w:tcW w:w="1090" w:type="dxa"/>
            <w:tcBorders>
              <w:top w:val="nil"/>
            </w:tcBorders>
          </w:tcPr>
          <w:p w:rsidR="003B00FB" w:rsidRPr="00FD4277" w:rsidRDefault="003B00FB">
            <w:pPr>
              <w:pStyle w:val="ConsPlusNonformat"/>
              <w:rPr>
                <w:color w:val="000000"/>
              </w:rPr>
            </w:pPr>
            <w:r w:rsidRPr="00FD4277">
              <w:rPr>
                <w:color w:val="000000"/>
                <w:sz w:val="18"/>
              </w:rPr>
              <w:t xml:space="preserve">  0,62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0,68   </w:t>
            </w:r>
          </w:p>
        </w:tc>
        <w:tc>
          <w:tcPr>
            <w:tcW w:w="1199" w:type="dxa"/>
            <w:tcBorders>
              <w:top w:val="nil"/>
            </w:tcBorders>
          </w:tcPr>
          <w:p w:rsidR="003B00FB" w:rsidRPr="00FD4277" w:rsidRDefault="003B00FB">
            <w:pPr>
              <w:pStyle w:val="ConsPlusNonformat"/>
              <w:rPr>
                <w:color w:val="000000"/>
              </w:rPr>
            </w:pPr>
            <w:r w:rsidRPr="00FD4277">
              <w:rPr>
                <w:color w:val="000000"/>
                <w:sz w:val="18"/>
              </w:rPr>
              <w:t xml:space="preserve">  0,74   </w:t>
            </w:r>
          </w:p>
        </w:tc>
      </w:tr>
    </w:tbl>
    <w:p w:rsidR="003B00FB" w:rsidRPr="00FD4277" w:rsidRDefault="003B00FB">
      <w:pPr>
        <w:pStyle w:val="ConsPlusNormal"/>
        <w:ind w:firstLine="540"/>
        <w:jc w:val="both"/>
        <w:rPr>
          <w:color w:val="000000"/>
        </w:rPr>
      </w:pPr>
    </w:p>
    <w:p w:rsidR="003B00FB" w:rsidRPr="00AD15E1" w:rsidRDefault="003B00FB" w:rsidP="00AD15E1">
      <w:pPr>
        <w:pStyle w:val="ConsPlusNormal"/>
        <w:ind w:firstLine="540"/>
        <w:jc w:val="both"/>
        <w:rPr>
          <w:color w:val="000000"/>
        </w:rPr>
      </w:pPr>
      <w:r w:rsidRPr="00AD15E1">
        <w:rPr>
          <w:color w:val="000000"/>
        </w:rPr>
        <w:t>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К2, то при исчислении налоговой базы, с условием ведения раздельного учета,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3B00FB" w:rsidRPr="00AD15E1" w:rsidRDefault="003B00FB" w:rsidP="00AD15E1">
      <w:pPr>
        <w:pStyle w:val="ConsPlusNormal"/>
        <w:ind w:firstLine="540"/>
        <w:jc w:val="both"/>
        <w:rPr>
          <w:color w:val="000000"/>
        </w:rPr>
      </w:pPr>
      <w:r w:rsidRPr="00AD15E1">
        <w:rPr>
          <w:color w:val="000000"/>
        </w:rPr>
        <w:t>В случае отсутствия раздельного учета по каждой группе товаров для исчисления налоговой базы применяется максимальное значение корректирующего коэффициента по реализуемым группам товаров".</w:t>
      </w:r>
    </w:p>
    <w:p w:rsidR="003B00FB" w:rsidRPr="00AD15E1" w:rsidRDefault="003B00FB" w:rsidP="00AD15E1">
      <w:pPr>
        <w:pStyle w:val="ConsPlusNormal"/>
        <w:ind w:firstLine="540"/>
        <w:jc w:val="both"/>
        <w:rPr>
          <w:color w:val="000000"/>
        </w:rPr>
      </w:pPr>
      <w:r w:rsidRPr="00AD15E1">
        <w:rPr>
          <w:color w:val="000000"/>
        </w:rPr>
        <w:t>2. Настоящее решение вступает в силу с 1 января 2010 года, но не ранее чем по истечении одного месяца со дня его официального опубликования в газете "Соликамский рабочий".</w:t>
      </w:r>
    </w:p>
    <w:p w:rsidR="003B00FB" w:rsidRDefault="003B00FB">
      <w:pPr>
        <w:pStyle w:val="ConsPlusNormal"/>
        <w:jc w:val="right"/>
        <w:rPr>
          <w:color w:val="000000"/>
        </w:rPr>
      </w:pPr>
    </w:p>
    <w:p w:rsidR="003B00FB" w:rsidRPr="00AD15E1" w:rsidRDefault="003B00FB">
      <w:pPr>
        <w:pStyle w:val="ConsPlusNormal"/>
        <w:jc w:val="right"/>
        <w:rPr>
          <w:i/>
          <w:color w:val="000000"/>
        </w:rPr>
      </w:pPr>
      <w:r w:rsidRPr="00AD15E1">
        <w:rPr>
          <w:i/>
          <w:color w:val="000000"/>
        </w:rPr>
        <w:t>Глава</w:t>
      </w:r>
    </w:p>
    <w:p w:rsidR="003B00FB" w:rsidRPr="00AD15E1" w:rsidRDefault="003B00FB">
      <w:pPr>
        <w:pStyle w:val="ConsPlusNormal"/>
        <w:jc w:val="right"/>
        <w:rPr>
          <w:i/>
          <w:color w:val="000000"/>
        </w:rPr>
      </w:pPr>
      <w:r w:rsidRPr="00AD15E1">
        <w:rPr>
          <w:i/>
          <w:color w:val="000000"/>
        </w:rPr>
        <w:t xml:space="preserve"> города Соликамска</w:t>
      </w:r>
    </w:p>
    <w:p w:rsidR="003B00FB" w:rsidRPr="00AD15E1" w:rsidRDefault="003B00FB">
      <w:pPr>
        <w:pStyle w:val="ConsPlusNormal"/>
        <w:jc w:val="right"/>
        <w:rPr>
          <w:i/>
          <w:color w:val="000000"/>
        </w:rPr>
      </w:pPr>
      <w:r w:rsidRPr="00AD15E1">
        <w:rPr>
          <w:i/>
          <w:color w:val="000000"/>
        </w:rPr>
        <w:t>С.В.ДЕВЯТКОВ</w:t>
      </w:r>
    </w:p>
    <w:p w:rsidR="003B00FB" w:rsidRPr="00FD4277" w:rsidRDefault="003B00FB">
      <w:pPr>
        <w:pStyle w:val="ConsPlusNormal"/>
        <w:ind w:firstLine="540"/>
        <w:jc w:val="both"/>
        <w:rPr>
          <w:color w:val="000000"/>
        </w:rPr>
      </w:pPr>
    </w:p>
    <w:sectPr w:rsidR="003B00FB" w:rsidRPr="00FD4277" w:rsidSect="001935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B9D"/>
    <w:rsid w:val="0008271C"/>
    <w:rsid w:val="000A3751"/>
    <w:rsid w:val="001935B5"/>
    <w:rsid w:val="002B2339"/>
    <w:rsid w:val="003B00FB"/>
    <w:rsid w:val="006836AE"/>
    <w:rsid w:val="00752B9D"/>
    <w:rsid w:val="009A6737"/>
    <w:rsid w:val="009C30AA"/>
    <w:rsid w:val="00AD15E1"/>
    <w:rsid w:val="00AE2598"/>
    <w:rsid w:val="00CA0C94"/>
    <w:rsid w:val="00D52B70"/>
    <w:rsid w:val="00F30007"/>
    <w:rsid w:val="00FC6A11"/>
    <w:rsid w:val="00FD42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3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752B9D"/>
    <w:pPr>
      <w:widowControl w:val="0"/>
      <w:autoSpaceDE w:val="0"/>
      <w:autoSpaceDN w:val="0"/>
    </w:pPr>
    <w:rPr>
      <w:rFonts w:eastAsia="Times New Roman" w:cs="Calibri"/>
      <w:szCs w:val="20"/>
    </w:rPr>
  </w:style>
  <w:style w:type="paragraph" w:customStyle="1" w:styleId="ConsPlusNonformat">
    <w:name w:val="ConsPlusNonformat"/>
    <w:uiPriority w:val="99"/>
    <w:rsid w:val="00752B9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52B9D"/>
    <w:pPr>
      <w:widowControl w:val="0"/>
      <w:autoSpaceDE w:val="0"/>
      <w:autoSpaceDN w:val="0"/>
    </w:pPr>
    <w:rPr>
      <w:rFonts w:eastAsia="Times New Roman" w:cs="Calibri"/>
      <w:b/>
      <w:szCs w:val="20"/>
    </w:rPr>
  </w:style>
  <w:style w:type="paragraph" w:customStyle="1" w:styleId="ConsPlusTitlePage">
    <w:name w:val="ConsPlusTitlePage"/>
    <w:uiPriority w:val="99"/>
    <w:rsid w:val="00752B9D"/>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732</Words>
  <Characters>4179</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6</cp:revision>
  <dcterms:created xsi:type="dcterms:W3CDTF">2016-07-18T12:24:00Z</dcterms:created>
  <dcterms:modified xsi:type="dcterms:W3CDTF">2016-10-27T06:11:00Z</dcterms:modified>
</cp:coreProperties>
</file>