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11" w:rsidRPr="00E218AB" w:rsidRDefault="00A11C11">
      <w:pPr>
        <w:pStyle w:val="ConsPlusTitle"/>
        <w:jc w:val="center"/>
      </w:pPr>
      <w:r w:rsidRPr="00E218AB">
        <w:t>ЗЕМСКОЕ СОБРАНИЕ УСОЛЬСКОГО МУНИЦИПАЛЬНОГО РАЙОНА</w:t>
      </w:r>
    </w:p>
    <w:p w:rsidR="00A11C11" w:rsidRPr="00E218AB" w:rsidRDefault="00A11C11">
      <w:pPr>
        <w:pStyle w:val="ConsPlusTitle"/>
        <w:jc w:val="center"/>
      </w:pPr>
    </w:p>
    <w:p w:rsidR="00A11C11" w:rsidRPr="00E218AB" w:rsidRDefault="00A11C11">
      <w:pPr>
        <w:pStyle w:val="ConsPlusTitle"/>
        <w:jc w:val="center"/>
      </w:pPr>
      <w:r w:rsidRPr="00E218AB">
        <w:t>РЕШЕНИЕ</w:t>
      </w:r>
    </w:p>
    <w:p w:rsidR="00A11C11" w:rsidRPr="00E218AB" w:rsidRDefault="00A11C11">
      <w:pPr>
        <w:pStyle w:val="ConsPlusTitle"/>
        <w:jc w:val="center"/>
      </w:pPr>
      <w:r w:rsidRPr="00E218AB">
        <w:t>от 17 ноября 2008 г. N 86</w:t>
      </w:r>
    </w:p>
    <w:p w:rsidR="00A11C11" w:rsidRPr="00E218AB" w:rsidRDefault="00A11C11">
      <w:pPr>
        <w:pStyle w:val="ConsPlusTitle"/>
        <w:jc w:val="center"/>
      </w:pPr>
    </w:p>
    <w:p w:rsidR="00A11C11" w:rsidRPr="00E218AB" w:rsidRDefault="00A11C11">
      <w:pPr>
        <w:pStyle w:val="ConsPlusTitle"/>
        <w:jc w:val="center"/>
      </w:pPr>
      <w:r w:rsidRPr="00E218AB">
        <w:t>О ЕДИНОМ НАЛОГЕ НА ВМЕНЕННЫЙ ДОХОД ДЛЯ ОТДЕЛЬНЫХ ВИДОВ</w:t>
      </w:r>
    </w:p>
    <w:p w:rsidR="00A11C11" w:rsidRPr="00E218AB" w:rsidRDefault="00A11C11">
      <w:pPr>
        <w:pStyle w:val="ConsPlusTitle"/>
        <w:jc w:val="center"/>
      </w:pPr>
      <w:r w:rsidRPr="00E218AB">
        <w:t>ДЕЯТЕЛЬНОСТИ НА ТЕРРИТОРИИ УСОЛЬСКОГО РАЙОНА</w:t>
      </w:r>
    </w:p>
    <w:p w:rsidR="00A11C11" w:rsidRPr="00E218AB" w:rsidRDefault="00A11C11">
      <w:pPr>
        <w:pStyle w:val="ConsPlusNormal"/>
        <w:ind w:firstLine="540"/>
        <w:jc w:val="both"/>
      </w:pPr>
    </w:p>
    <w:p w:rsidR="00A11C11" w:rsidRDefault="00A11C11" w:rsidP="006800A2">
      <w:pPr>
        <w:pStyle w:val="ConsPlusNormal"/>
        <w:ind w:firstLine="540"/>
        <w:jc w:val="both"/>
      </w:pPr>
      <w:r>
        <w:t>На основании главы 26.3 части второй Налогового кодекса Российской Федерации Земское Собрание решает:</w:t>
      </w:r>
    </w:p>
    <w:p w:rsidR="00A11C11" w:rsidRDefault="00A11C11" w:rsidP="006800A2">
      <w:pPr>
        <w:pStyle w:val="ConsPlusNormal"/>
        <w:ind w:firstLine="540"/>
        <w:jc w:val="both"/>
      </w:pPr>
    </w:p>
    <w:p w:rsidR="00A11C11" w:rsidRDefault="00A11C11" w:rsidP="006800A2">
      <w:pPr>
        <w:pStyle w:val="ConsPlusNormal"/>
        <w:ind w:firstLine="540"/>
        <w:jc w:val="both"/>
      </w:pPr>
      <w:r>
        <w:t>1. Применять на территории Усольского района с 1 января 2009 года систему налогообложения в виде единого налога на вмененный доход для отдельных видов деятельности применительно к следующим видам предпринимательской деятельности:</w:t>
      </w:r>
    </w:p>
    <w:p w:rsidR="00A11C11" w:rsidRDefault="00A11C11" w:rsidP="006800A2">
      <w:pPr>
        <w:pStyle w:val="ConsPlusNormal"/>
        <w:ind w:firstLine="540"/>
        <w:jc w:val="both"/>
      </w:pPr>
      <w:r>
        <w:t>1.1.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11C11" w:rsidRDefault="00A11C11" w:rsidP="006800A2">
      <w:pPr>
        <w:pStyle w:val="ConsPlusNormal"/>
        <w:ind w:firstLine="540"/>
        <w:jc w:val="both"/>
      </w:pPr>
      <w:r>
        <w:t>1.2.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11C11" w:rsidRDefault="00A11C11" w:rsidP="006800A2">
      <w:pPr>
        <w:pStyle w:val="ConsPlusNormal"/>
        <w:ind w:firstLine="540"/>
        <w:jc w:val="both"/>
      </w:pPr>
      <w:r>
        <w:t>1.3.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11C11" w:rsidRDefault="00A11C11" w:rsidP="006800A2">
      <w:pPr>
        <w:pStyle w:val="ConsPlusNormal"/>
        <w:ind w:firstLine="540"/>
        <w:jc w:val="both"/>
      </w:pPr>
      <w:r>
        <w:t>1.4.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A11C11" w:rsidRDefault="00A11C11" w:rsidP="006800A2">
      <w:pPr>
        <w:pStyle w:val="ConsPlusNormal"/>
        <w:ind w:firstLine="540"/>
        <w:jc w:val="both"/>
      </w:pPr>
      <w:r>
        <w:t>1.5. оказание услуг по ремонту, техническому обслуживанию и мойке автотранспортных средств;</w:t>
      </w:r>
    </w:p>
    <w:p w:rsidR="00A11C11" w:rsidRDefault="00A11C11" w:rsidP="006800A2">
      <w:pPr>
        <w:pStyle w:val="ConsPlusNormal"/>
        <w:ind w:firstLine="540"/>
        <w:jc w:val="both"/>
      </w:pPr>
      <w:r>
        <w:t>1.6. оказание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A11C11" w:rsidRDefault="00A11C11" w:rsidP="006800A2">
      <w:pPr>
        <w:pStyle w:val="ConsPlusNormal"/>
        <w:ind w:firstLine="540"/>
        <w:jc w:val="both"/>
      </w:pPr>
      <w:r>
        <w:t>1.7. оказание ветеринарных услуг;</w:t>
      </w:r>
    </w:p>
    <w:p w:rsidR="00A11C11" w:rsidRDefault="00A11C11" w:rsidP="006800A2">
      <w:pPr>
        <w:pStyle w:val="ConsPlusNormal"/>
        <w:ind w:firstLine="540"/>
        <w:jc w:val="both"/>
      </w:pPr>
      <w:r>
        <w:t>1.8.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11C11" w:rsidRDefault="00A11C11" w:rsidP="006800A2">
      <w:pPr>
        <w:pStyle w:val="ConsPlusNormal"/>
        <w:ind w:firstLine="540"/>
        <w:jc w:val="both"/>
      </w:pPr>
      <w:r>
        <w:t>1.9. оказание услуг по предоставлению во временное владение (в пользование) мест для стоянок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11C11" w:rsidRDefault="00A11C11" w:rsidP="006800A2">
      <w:pPr>
        <w:pStyle w:val="ConsPlusNormal"/>
        <w:ind w:firstLine="540"/>
        <w:jc w:val="both"/>
      </w:pPr>
      <w:r>
        <w:t>1.10. оказание услуг по передаче во временное владение и(или)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11C11" w:rsidRDefault="00A11C11" w:rsidP="006800A2">
      <w:pPr>
        <w:pStyle w:val="ConsPlusNormal"/>
        <w:ind w:firstLine="540"/>
        <w:jc w:val="both"/>
      </w:pPr>
      <w:r>
        <w:t>1.11. оказание услуг по передаче во временное владение и(или)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11C11" w:rsidRDefault="00A11C11" w:rsidP="006800A2">
      <w:pPr>
        <w:pStyle w:val="ConsPlusNormal"/>
        <w:ind w:firstLine="540"/>
        <w:jc w:val="both"/>
      </w:pPr>
      <w:r>
        <w:t>2. Определить следующие значения корректирующего коэффициента базовой доходности К2:</w:t>
      </w:r>
    </w:p>
    <w:p w:rsidR="00A11C11" w:rsidRPr="00E218AB" w:rsidRDefault="00A11C11" w:rsidP="006800A2">
      <w:pPr>
        <w:pStyle w:val="ConsPlusNormal"/>
        <w:ind w:firstLine="540"/>
        <w:jc w:val="both"/>
      </w:pPr>
      <w:r>
        <w:t>2.1. В отношении розничной торговли, осуществляемой через объекты стационарной сети:</w:t>
      </w:r>
    </w:p>
    <w:p w:rsidR="00A11C11" w:rsidRPr="00E218AB" w:rsidRDefault="00A11C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80"/>
        <w:gridCol w:w="665"/>
        <w:gridCol w:w="570"/>
        <w:gridCol w:w="570"/>
        <w:gridCol w:w="570"/>
        <w:gridCol w:w="665"/>
        <w:gridCol w:w="665"/>
        <w:gridCol w:w="665"/>
        <w:gridCol w:w="665"/>
        <w:gridCol w:w="665"/>
        <w:gridCol w:w="665"/>
      </w:tblGrid>
      <w:tr w:rsidR="00A11C11" w:rsidRPr="008A04FF">
        <w:trPr>
          <w:trHeight w:val="193"/>
        </w:trPr>
        <w:tc>
          <w:tcPr>
            <w:tcW w:w="2280" w:type="dxa"/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    Показатели      </w:t>
            </w:r>
          </w:p>
        </w:tc>
        <w:tc>
          <w:tcPr>
            <w:tcW w:w="6365" w:type="dxa"/>
            <w:gridSpan w:val="10"/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Величина дохода за налоговый период на 1 кв. м, рублей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1500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1500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вкл.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5100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вкл.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5100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7500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вкл.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7500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10000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10000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15000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15000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22500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22500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30000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30000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60000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вкл.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Свыше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60000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         1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2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4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10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bookmarkStart w:id="0" w:name="P37"/>
            <w:bookmarkEnd w:id="0"/>
            <w:r w:rsidRPr="00E218AB">
              <w:rPr>
                <w:sz w:val="16"/>
              </w:rPr>
              <w:t xml:space="preserve">1. Ювелирные изделия                                     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0,42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0,66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0,53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0,78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0,66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1.6.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0,69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bookmarkStart w:id="1" w:name="P57"/>
            <w:bookmarkEnd w:id="1"/>
            <w:r w:rsidRPr="00E218AB">
              <w:rPr>
                <w:sz w:val="16"/>
              </w:rPr>
              <w:t xml:space="preserve">2. Мебель, изделия из натурального меха, натуральной кожи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2.1.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0,09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0,37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2.2.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0,39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2.3.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0,21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2.4.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0,49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2.5.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0,59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0,84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2.6.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bookmarkStart w:id="2" w:name="P77"/>
            <w:bookmarkEnd w:id="2"/>
            <w:r w:rsidRPr="00E218AB">
              <w:rPr>
                <w:sz w:val="16"/>
              </w:rPr>
              <w:t xml:space="preserve">3. Алкогольная продукция, пиво, табачные изделия         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3.1.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0,08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0,32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0,37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0,09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0,33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0,48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3.3.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0,09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3.4.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3.5.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0,17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3.6.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bookmarkStart w:id="3" w:name="P97"/>
            <w:bookmarkEnd w:id="3"/>
            <w:r w:rsidRPr="00E218AB">
              <w:rPr>
                <w:sz w:val="16"/>
              </w:rPr>
              <w:t xml:space="preserve">4. Продов. товары, лекарств. ср-ва, изд. мед. назнач., изд. народ. худож.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промыслов (утвержд. краевым худож.-эксперт. советом по декор.-приклад. ис-ву);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предм. культа и религиоз. назнач. культа и религиоз. назнач. (кроме изд. из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драгметал. и драгкамней); книжн. прод. и период. изд. (кроме продук. реклам. и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эротич. хар-ра), а также сопутств. товары (при усл., что доходы от реализ. 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сопутств. товаров состав. не более 30 процентов от общ. товарообор.)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0,04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0,08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0,8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4.2.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0,05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0,09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0,26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0,85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0,05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0,27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0,36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0,95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0,06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0,08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4.6.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0,24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0,54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5. Товары, перечисленные в </w:t>
            </w:r>
            <w:hyperlink w:anchor="P97" w:history="1">
              <w:r w:rsidRPr="00E218AB">
                <w:rPr>
                  <w:sz w:val="16"/>
                </w:rPr>
                <w:t>пункте 4</w:t>
              </w:r>
            </w:hyperlink>
            <w:r w:rsidRPr="00E218AB">
              <w:rPr>
                <w:sz w:val="16"/>
              </w:rPr>
              <w:t xml:space="preserve"> настоящей таблицы, а также иные товары (при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условии, что доходы от реализации иных товаров составляют не более 30 процентов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от общего товарооборота)                                 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0,05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0,23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0,38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0,85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5.2.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0,06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0,06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0,26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0,07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0,38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0,77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0,21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0,51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5.6.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0,31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0,63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6. Прочие виды товаров                                   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0,06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0,19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0,9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6.2.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0,07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0,27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0,07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0,29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0,36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0,08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0,33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0,41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0,56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6.6.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0,35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0,75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8645" w:type="dxa"/>
            <w:gridSpan w:val="11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7. Смешанный ассортимент (реализация в одном торговом месте нескольких видов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товаров, для которых установлены различные коэффициенты К2 (в графе одного 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уровня доходности), при условии, что доходы от реализации товарных групп,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перечисленных в </w:t>
            </w:r>
            <w:hyperlink w:anchor="P37" w:history="1">
              <w:r w:rsidRPr="00E218AB">
                <w:rPr>
                  <w:sz w:val="16"/>
                </w:rPr>
                <w:t>пунктах 1</w:t>
              </w:r>
            </w:hyperlink>
            <w:r w:rsidRPr="00E218AB">
              <w:rPr>
                <w:sz w:val="16"/>
              </w:rPr>
              <w:t xml:space="preserve">, </w:t>
            </w:r>
            <w:hyperlink w:anchor="P57" w:history="1">
              <w:r w:rsidRPr="00E218AB">
                <w:rPr>
                  <w:sz w:val="16"/>
                </w:rPr>
                <w:t>2</w:t>
              </w:r>
            </w:hyperlink>
            <w:r w:rsidRPr="00E218AB">
              <w:rPr>
                <w:sz w:val="16"/>
              </w:rPr>
              <w:t xml:space="preserve">, </w:t>
            </w:r>
            <w:hyperlink w:anchor="P77" w:history="1">
              <w:r w:rsidRPr="00E218AB">
                <w:rPr>
                  <w:sz w:val="16"/>
                </w:rPr>
                <w:t>3</w:t>
              </w:r>
            </w:hyperlink>
            <w:r w:rsidRPr="00E218AB">
              <w:rPr>
                <w:sz w:val="16"/>
              </w:rPr>
              <w:t xml:space="preserve"> настоящей таблицы, составляют не более 40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процентов от общего товарооборота)                                           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7.1. Площадью от 100 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до 150 кв. м вкл.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0,07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0,29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0,37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7.2. Площадью от 50 до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100 кв. м вкл.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0,075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0,22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0,31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0,62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7.3. Площадью от 6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50 кв. м вкл.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0,08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0,16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0,23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0,32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0,41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0,46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0,63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7.4. Площадью от 4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6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0,09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0,18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0,27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0,38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0,49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0,55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0,75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7.5. Площадью от 2 до 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4 кв. м вкл.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0,14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0,28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0,45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0,65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0,83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0,94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  <w:tr w:rsidR="00A11C11" w:rsidRPr="008A04FF">
        <w:trPr>
          <w:trHeight w:val="193"/>
        </w:trPr>
        <w:tc>
          <w:tcPr>
            <w:tcW w:w="228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7.6. Площадью до 2 кв.</w:t>
            </w:r>
          </w:p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м вкл.            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0,42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>0,84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570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1 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1   </w:t>
            </w:r>
          </w:p>
        </w:tc>
        <w:tc>
          <w:tcPr>
            <w:tcW w:w="665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rPr>
                <w:sz w:val="16"/>
              </w:rPr>
              <w:t xml:space="preserve">  1  </w:t>
            </w:r>
          </w:p>
        </w:tc>
      </w:tr>
    </w:tbl>
    <w:p w:rsidR="00A11C11" w:rsidRPr="00E218AB" w:rsidRDefault="00A11C11">
      <w:pPr>
        <w:pStyle w:val="ConsPlusNormal"/>
        <w:ind w:firstLine="540"/>
        <w:jc w:val="both"/>
      </w:pPr>
    </w:p>
    <w:p w:rsidR="00A11C11" w:rsidRDefault="00A11C11" w:rsidP="006800A2">
      <w:pPr>
        <w:pStyle w:val="ConsPlusNormal"/>
        <w:ind w:firstLine="540"/>
        <w:jc w:val="both"/>
      </w:pPr>
      <w:r>
        <w:t>Установить, что 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A11C11" w:rsidRDefault="00A11C11" w:rsidP="006800A2">
      <w:pPr>
        <w:pStyle w:val="ConsPlusNormal"/>
        <w:ind w:firstLine="540"/>
        <w:jc w:val="both"/>
      </w:pPr>
      <w:r>
        <w:t>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0,07. 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A11C11" w:rsidRPr="00E218AB" w:rsidRDefault="00A11C11" w:rsidP="006800A2">
      <w:pPr>
        <w:pStyle w:val="ConsPlusNormal"/>
        <w:ind w:firstLine="540"/>
        <w:jc w:val="both"/>
      </w:pPr>
      <w:r>
        <w:t>2.2. В отношении розничной торговли, осуществляемой через объекты стационарной торговой сети, не имеющей торговых залов, и розничной торговли, осуществляемой через объекты нестационарной торговой сети:</w:t>
      </w:r>
    </w:p>
    <w:p w:rsidR="00A11C11" w:rsidRPr="00E218AB" w:rsidRDefault="00A11C11">
      <w:pPr>
        <w:pStyle w:val="ConsPlusNormal"/>
        <w:ind w:firstLine="540"/>
        <w:jc w:val="both"/>
      </w:pPr>
    </w:p>
    <w:p w:rsidR="00A11C11" w:rsidRPr="00E218AB" w:rsidRDefault="00A11C11">
      <w:pPr>
        <w:pStyle w:val="ConsPlusCell"/>
      </w:pPr>
      <w:r w:rsidRPr="00E218AB">
        <w:t>┌────────────────────────────────────────────────┬───────────────┐</w:t>
      </w:r>
    </w:p>
    <w:p w:rsidR="00A11C11" w:rsidRPr="00E218AB" w:rsidRDefault="00A11C11">
      <w:pPr>
        <w:pStyle w:val="ConsPlusCell"/>
      </w:pPr>
      <w:r w:rsidRPr="00E218AB">
        <w:t>│                Показатели                      │    Значения   │</w:t>
      </w:r>
    </w:p>
    <w:p w:rsidR="00A11C11" w:rsidRPr="00E218AB" w:rsidRDefault="00A11C11">
      <w:pPr>
        <w:pStyle w:val="ConsPlusCell"/>
      </w:pPr>
      <w:r w:rsidRPr="00E218AB">
        <w:t>│                                                │корректирующего│</w:t>
      </w:r>
    </w:p>
    <w:p w:rsidR="00A11C11" w:rsidRPr="00E218AB" w:rsidRDefault="00A11C11">
      <w:pPr>
        <w:pStyle w:val="ConsPlusCell"/>
      </w:pPr>
      <w:r w:rsidRPr="00E218AB">
        <w:t>│                                                │  коэффициента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│Подакцизные товары                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1   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0,54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│Изделия из натурального меха, натуральной кожи, │               │</w:t>
      </w:r>
    </w:p>
    <w:p w:rsidR="00A11C11" w:rsidRPr="00E218AB" w:rsidRDefault="00A11C11">
      <w:pPr>
        <w:pStyle w:val="ConsPlusCell"/>
      </w:pPr>
      <w:r w:rsidRPr="00E218AB">
        <w:t>│ковровые изделия, детали, агрегаты и            │               │</w:t>
      </w:r>
    </w:p>
    <w:p w:rsidR="00A11C11" w:rsidRPr="00E218AB" w:rsidRDefault="00A11C11">
      <w:pPr>
        <w:pStyle w:val="ConsPlusCell"/>
      </w:pPr>
      <w:r w:rsidRPr="00E218AB">
        <w:t>│принадлежности к автомобилям      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1   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0,6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│Продовольственные товары          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0,54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0,36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│Лекарственные средства и изделия медицинского   │               │</w:t>
      </w:r>
    </w:p>
    <w:p w:rsidR="00A11C11" w:rsidRPr="00E218AB" w:rsidRDefault="00A11C11">
      <w:pPr>
        <w:pStyle w:val="ConsPlusCell"/>
      </w:pPr>
      <w:r w:rsidRPr="00E218AB">
        <w:t>│назначения                        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1   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0,3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│Изделия художественных народных промыслов и     │               │</w:t>
      </w:r>
    </w:p>
    <w:p w:rsidR="00A11C11" w:rsidRPr="00E218AB" w:rsidRDefault="00A11C11">
      <w:pPr>
        <w:pStyle w:val="ConsPlusCell"/>
      </w:pPr>
      <w:r w:rsidRPr="00E218AB">
        <w:t>│ремесел (образцы изделий утверждаются краевым   │               │</w:t>
      </w:r>
    </w:p>
    <w:p w:rsidR="00A11C11" w:rsidRPr="00E218AB" w:rsidRDefault="00A11C11">
      <w:pPr>
        <w:pStyle w:val="ConsPlusCell"/>
      </w:pPr>
      <w:r w:rsidRPr="00E218AB">
        <w:t>│художественно-экспертным советом по декоративно-│               │</w:t>
      </w:r>
    </w:p>
    <w:p w:rsidR="00A11C11" w:rsidRPr="00E218AB" w:rsidRDefault="00A11C11">
      <w:pPr>
        <w:pStyle w:val="ConsPlusCell"/>
      </w:pPr>
      <w:r w:rsidRPr="00E218AB">
        <w:t>│прикладному искусству);                         │               │</w:t>
      </w:r>
    </w:p>
    <w:p w:rsidR="00A11C11" w:rsidRPr="00E218AB" w:rsidRDefault="00A11C11">
      <w:pPr>
        <w:pStyle w:val="ConsPlusCell"/>
      </w:pPr>
      <w:r w:rsidRPr="00E218AB">
        <w:t>│предметы культа и религиозного назначения (кроме│               │</w:t>
      </w:r>
    </w:p>
    <w:p w:rsidR="00A11C11" w:rsidRPr="00E218AB" w:rsidRDefault="00A11C11">
      <w:pPr>
        <w:pStyle w:val="ConsPlusCell"/>
      </w:pPr>
      <w:r w:rsidRPr="00E218AB">
        <w:t>│изделий из драгоценных металлов и драгоценных   │               │</w:t>
      </w:r>
    </w:p>
    <w:p w:rsidR="00A11C11" w:rsidRPr="00E218AB" w:rsidRDefault="00A11C11">
      <w:pPr>
        <w:pStyle w:val="ConsPlusCell"/>
      </w:pPr>
      <w:r w:rsidRPr="00E218AB">
        <w:t>│камней);                                        │               │</w:t>
      </w:r>
    </w:p>
    <w:p w:rsidR="00A11C11" w:rsidRPr="00E218AB" w:rsidRDefault="00A11C11">
      <w:pPr>
        <w:pStyle w:val="ConsPlusCell"/>
      </w:pPr>
      <w:r w:rsidRPr="00E218AB">
        <w:t>│книжная продукция и периодические издания (кроме│               │</w:t>
      </w:r>
    </w:p>
    <w:p w:rsidR="00A11C11" w:rsidRPr="00E218AB" w:rsidRDefault="00A11C11">
      <w:pPr>
        <w:pStyle w:val="ConsPlusCell"/>
      </w:pPr>
      <w:r w:rsidRPr="00E218AB">
        <w:t>│продукции рекламного и эротического характера), │               │</w:t>
      </w:r>
    </w:p>
    <w:p w:rsidR="00A11C11" w:rsidRPr="00E218AB" w:rsidRDefault="00A11C11">
      <w:pPr>
        <w:pStyle w:val="ConsPlusCell"/>
      </w:pPr>
      <w:r w:rsidRPr="00E218AB">
        <w:t>│а также сопутствующие товары в соответствии с   │               │</w:t>
      </w:r>
    </w:p>
    <w:p w:rsidR="00A11C11" w:rsidRPr="00E218AB" w:rsidRDefault="00A11C11">
      <w:pPr>
        <w:pStyle w:val="ConsPlusCell"/>
      </w:pPr>
      <w:r w:rsidRPr="00E218AB">
        <w:t>│перечнем (при условии, что доходы от реализации │               │</w:t>
      </w:r>
    </w:p>
    <w:p w:rsidR="00A11C11" w:rsidRPr="00E218AB" w:rsidRDefault="00A11C11">
      <w:pPr>
        <w:pStyle w:val="ConsPlusCell"/>
      </w:pPr>
      <w:r w:rsidRPr="00E218AB">
        <w:t>│сопутствующих товаров составляют не более 30    │               │</w:t>
      </w:r>
    </w:p>
    <w:p w:rsidR="00A11C11" w:rsidRPr="00E218AB" w:rsidRDefault="00A11C11">
      <w:pPr>
        <w:pStyle w:val="ConsPlusCell"/>
      </w:pPr>
      <w:r w:rsidRPr="00E218AB">
        <w:t>│процентов от общего товарооборота)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0,48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0,3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│Прочие виды товаров                             │               │</w:t>
      </w:r>
    </w:p>
    <w:p w:rsidR="00A11C11" w:rsidRPr="00E218AB" w:rsidRDefault="00A11C11">
      <w:pPr>
        <w:pStyle w:val="ConsPlusCell"/>
      </w:pPr>
      <w:r w:rsidRPr="00E218AB">
        <w:t>├────────────────────────────────────────────────┼───────────────┤</w:t>
      </w:r>
    </w:p>
    <w:p w:rsidR="00A11C11" w:rsidRPr="00E218AB" w:rsidRDefault="00A11C11">
      <w:pPr>
        <w:pStyle w:val="ConsPlusCell"/>
      </w:pPr>
      <w:r w:rsidRPr="00E218AB">
        <w:t>│Объекты стационарной торговой сети              │      1        │</w:t>
      </w:r>
    </w:p>
    <w:p w:rsidR="00A11C11" w:rsidRPr="00E218AB" w:rsidRDefault="00A11C11">
      <w:pPr>
        <w:pStyle w:val="ConsPlusCell"/>
      </w:pPr>
      <w:r w:rsidRPr="00E218AB">
        <w:t>│Объекты нестационарной торговой сети            │      0,48     │</w:t>
      </w:r>
    </w:p>
    <w:p w:rsidR="00A11C11" w:rsidRPr="00E218AB" w:rsidRDefault="00A11C11">
      <w:pPr>
        <w:pStyle w:val="ConsPlusCell"/>
      </w:pPr>
      <w:r w:rsidRPr="00E218AB">
        <w:t>└────────────────────────────────────────────────┴───────────────┘</w:t>
      </w:r>
    </w:p>
    <w:p w:rsidR="00A11C11" w:rsidRPr="00E218AB" w:rsidRDefault="00A11C11">
      <w:pPr>
        <w:pStyle w:val="ConsPlusNormal"/>
        <w:ind w:firstLine="540"/>
        <w:jc w:val="both"/>
      </w:pPr>
    </w:p>
    <w:p w:rsidR="00A11C11" w:rsidRDefault="00A11C11" w:rsidP="006800A2">
      <w:pPr>
        <w:pStyle w:val="ConsPlusNormal"/>
        <w:ind w:firstLine="540"/>
        <w:jc w:val="both"/>
      </w:pPr>
      <w:r>
        <w:t>Установить, что 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A11C11" w:rsidRDefault="00A11C11" w:rsidP="006800A2">
      <w:pPr>
        <w:pStyle w:val="ConsPlusNormal"/>
        <w:ind w:firstLine="540"/>
        <w:jc w:val="both"/>
      </w:pPr>
      <w: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установленного для товарной группы "Прочие виды товаров".</w:t>
      </w:r>
    </w:p>
    <w:p w:rsidR="00A11C11" w:rsidRPr="00E218AB" w:rsidRDefault="00A11C11" w:rsidP="006800A2">
      <w:pPr>
        <w:pStyle w:val="ConsPlusNormal"/>
        <w:ind w:firstLine="540"/>
        <w:jc w:val="both"/>
      </w:pPr>
      <w:r>
        <w:t>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значение корректирующего коэффициента в размере 1.</w:t>
      </w:r>
    </w:p>
    <w:p w:rsidR="00A11C11" w:rsidRPr="006800A2" w:rsidRDefault="00A11C11">
      <w:pPr>
        <w:pStyle w:val="ConsPlusNormal"/>
        <w:ind w:firstLine="540"/>
        <w:jc w:val="both"/>
      </w:pPr>
      <w:r w:rsidRPr="006800A2">
        <w:t>2.4. В отношении вида предпринимательской деятельности "По оказанию услуг общественного питания":</w:t>
      </w:r>
    </w:p>
    <w:p w:rsidR="00A11C11" w:rsidRPr="00E218AB" w:rsidRDefault="00A11C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62"/>
        <w:gridCol w:w="1098"/>
        <w:gridCol w:w="1098"/>
        <w:gridCol w:w="1098"/>
        <w:gridCol w:w="1098"/>
        <w:gridCol w:w="1098"/>
        <w:gridCol w:w="976"/>
        <w:gridCol w:w="854"/>
      </w:tblGrid>
      <w:tr w:rsidR="00A11C11" w:rsidRPr="008A04FF">
        <w:trPr>
          <w:trHeight w:val="227"/>
        </w:trPr>
        <w:tc>
          <w:tcPr>
            <w:tcW w:w="2562" w:type="dxa"/>
          </w:tcPr>
          <w:p w:rsidR="00A11C11" w:rsidRPr="00E218AB" w:rsidRDefault="00A11C11">
            <w:pPr>
              <w:pStyle w:val="ConsPlusNonformat"/>
            </w:pPr>
            <w:r w:rsidRPr="00E218AB">
              <w:t xml:space="preserve">  Размер площади,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       кв. м       </w:t>
            </w:r>
          </w:p>
        </w:tc>
        <w:tc>
          <w:tcPr>
            <w:tcW w:w="7320" w:type="dxa"/>
            <w:gridSpan w:val="7"/>
          </w:tcPr>
          <w:p w:rsidR="00A11C11" w:rsidRPr="00E218AB" w:rsidRDefault="00A11C11">
            <w:pPr>
              <w:pStyle w:val="ConsPlusNonformat"/>
            </w:pPr>
            <w:r w:rsidRPr="00E218AB">
              <w:t>Величина дохода за налоговый период на 1 кв. м, руб.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1500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1500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2100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2100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4500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4500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7500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7500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до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12000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12000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до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24000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Свыше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</w:p>
        </w:tc>
        <w:tc>
          <w:tcPr>
            <w:tcW w:w="7320" w:type="dxa"/>
            <w:gridSpan w:val="7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Величина дохода за месяц на 1 кв. м, руб.         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До 500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500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до 700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вкл.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700 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1500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1500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2500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От 2500</w:t>
            </w:r>
          </w:p>
          <w:p w:rsidR="00A11C11" w:rsidRPr="00E218AB" w:rsidRDefault="00A11C11">
            <w:pPr>
              <w:pStyle w:val="ConsPlusNonformat"/>
            </w:pPr>
            <w:r w:rsidRPr="00E218AB">
              <w:t>до 4000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4000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до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8000 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>Свыше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    1       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2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3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4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5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6  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7  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8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До 4 вкл.       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0,11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0,28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0,35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0,8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 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1   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4 до 6 вкл.  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0,08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0,16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0,23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0,48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0,72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0,95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6 до 50 вкл.  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0,07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0,14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0,17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0,38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0,6 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0,8 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50 до 100 вкл.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0,06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0,12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0,16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0,36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0,55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0,76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</w:t>
            </w:r>
          </w:p>
        </w:tc>
      </w:tr>
      <w:tr w:rsidR="00A11C11" w:rsidRPr="008A04FF">
        <w:trPr>
          <w:trHeight w:val="227"/>
        </w:trPr>
        <w:tc>
          <w:tcPr>
            <w:tcW w:w="2562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От 100 до 150 вкл.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0,05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0,11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0,15 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0,33 </w:t>
            </w:r>
          </w:p>
        </w:tc>
        <w:tc>
          <w:tcPr>
            <w:tcW w:w="1098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0,52 </w:t>
            </w:r>
          </w:p>
        </w:tc>
        <w:tc>
          <w:tcPr>
            <w:tcW w:w="976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0,72 </w:t>
            </w:r>
          </w:p>
        </w:tc>
        <w:tc>
          <w:tcPr>
            <w:tcW w:w="85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1  </w:t>
            </w:r>
          </w:p>
        </w:tc>
      </w:tr>
    </w:tbl>
    <w:p w:rsidR="00A11C11" w:rsidRPr="00E218AB" w:rsidRDefault="00A11C11">
      <w:pPr>
        <w:pStyle w:val="ConsPlusNormal"/>
        <w:ind w:firstLine="540"/>
        <w:jc w:val="both"/>
      </w:pPr>
    </w:p>
    <w:p w:rsidR="00A11C11" w:rsidRPr="006800A2" w:rsidRDefault="00A11C11">
      <w:pPr>
        <w:pStyle w:val="ConsPlusNormal"/>
        <w:ind w:firstLine="540"/>
        <w:jc w:val="both"/>
      </w:pPr>
      <w:r w:rsidRPr="006800A2">
        <w:t>2.5. В отношении иных видов предпринимательской деятельности:</w:t>
      </w:r>
    </w:p>
    <w:p w:rsidR="00A11C11" w:rsidRPr="00E218AB" w:rsidRDefault="00A11C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"/>
        <w:gridCol w:w="6344"/>
        <w:gridCol w:w="1464"/>
      </w:tblGrid>
      <w:tr w:rsidR="00A11C11" w:rsidRPr="008A04FF">
        <w:trPr>
          <w:trHeight w:val="227"/>
        </w:trPr>
        <w:tc>
          <w:tcPr>
            <w:tcW w:w="6344" w:type="dxa"/>
            <w:gridSpan w:val="2"/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   Вид предпринимательской деятельности       </w:t>
            </w:r>
          </w:p>
        </w:tc>
        <w:tc>
          <w:tcPr>
            <w:tcW w:w="1464" w:type="dxa"/>
          </w:tcPr>
          <w:p w:rsidR="00A11C11" w:rsidRPr="00E218AB" w:rsidRDefault="00A11C11">
            <w:pPr>
              <w:pStyle w:val="ConsPlusNonformat"/>
            </w:pPr>
            <w:r w:rsidRPr="00E218AB">
              <w:t xml:space="preserve"> Значение </w:t>
            </w:r>
          </w:p>
          <w:p w:rsidR="00A11C11" w:rsidRPr="00E218AB" w:rsidRDefault="00A11C11">
            <w:pPr>
              <w:pStyle w:val="ConsPlusNonformat"/>
            </w:pPr>
            <w:r w:rsidRPr="00E218AB">
              <w:t>корректир.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 коэф-та  </w:t>
            </w:r>
          </w:p>
        </w:tc>
      </w:tr>
      <w:tr w:rsidR="00A11C11" w:rsidRPr="008A04FF">
        <w:trPr>
          <w:trHeight w:val="227"/>
        </w:trPr>
        <w:tc>
          <w:tcPr>
            <w:tcW w:w="6344" w:type="dxa"/>
            <w:gridSpan w:val="2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а/транспорт. услуг по перевозке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пассажиров и грузов, осуществ. организ. и ИП,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имеющ. на праве собств. или ином праве (пользов.,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владения и(или) распоряжения) не более 20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>транспортных средств, предназначенных для оказания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таких услуг    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1     </w:t>
            </w:r>
          </w:p>
        </w:tc>
      </w:tr>
      <w:tr w:rsidR="00A11C11" w:rsidRPr="008A04FF">
        <w:trPr>
          <w:trHeight w:val="227"/>
        </w:trPr>
        <w:tc>
          <w:tcPr>
            <w:tcW w:w="6344" w:type="dxa"/>
            <w:gridSpan w:val="2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услуг по ремонту, техническому 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обслуживанию и мойке автотранспортных средств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1     </w:t>
            </w:r>
          </w:p>
        </w:tc>
      </w:tr>
      <w:tr w:rsidR="00A11C11" w:rsidRPr="008A04FF">
        <w:trPr>
          <w:trHeight w:val="227"/>
        </w:trPr>
        <w:tc>
          <w:tcPr>
            <w:tcW w:w="6344" w:type="dxa"/>
            <w:gridSpan w:val="2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бытовых услуг, их групп, подгрупп, видов </w:t>
            </w:r>
          </w:p>
          <w:p w:rsidR="00A11C11" w:rsidRPr="00E218AB" w:rsidRDefault="00A11C11">
            <w:pPr>
              <w:pStyle w:val="ConsPlusNonformat"/>
            </w:pPr>
            <w:r w:rsidRPr="00E218AB">
              <w:t>и(или) отдельных бытовых услуг, классифицируемых в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соответствии с Общероссийским </w:t>
            </w:r>
            <w:hyperlink r:id="rId4" w:history="1">
              <w:r w:rsidRPr="00E218AB">
                <w:t>классификатором</w:t>
              </w:r>
            </w:hyperlink>
          </w:p>
          <w:p w:rsidR="00A11C11" w:rsidRPr="00E218AB" w:rsidRDefault="00A11C11">
            <w:pPr>
              <w:pStyle w:val="ConsPlusNonformat"/>
            </w:pPr>
            <w:r w:rsidRPr="00E218AB">
              <w:t xml:space="preserve">услуг населению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1     </w:t>
            </w:r>
          </w:p>
        </w:tc>
      </w:tr>
      <w:tr w:rsidR="00A11C11" w:rsidRPr="008A04FF">
        <w:trPr>
          <w:trHeight w:val="227"/>
        </w:trPr>
        <w:tc>
          <w:tcPr>
            <w:tcW w:w="6344" w:type="dxa"/>
            <w:gridSpan w:val="2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ветеринарных услуг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0,1   </w:t>
            </w:r>
          </w:p>
        </w:tc>
      </w:tr>
      <w:tr w:rsidR="00A11C11" w:rsidRPr="008A04FF">
        <w:trPr>
          <w:gridBefore w:val="1"/>
          <w:trHeight w:val="227"/>
        </w:trPr>
        <w:tc>
          <w:tcPr>
            <w:tcW w:w="634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услуг по передаче во временное владение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и(или) пользование земельных участков для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размещения объектов стационарной и нестационарной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торговой сети, а также объектов организации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общественного питания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1     </w:t>
            </w:r>
          </w:p>
        </w:tc>
      </w:tr>
      <w:tr w:rsidR="00A11C11" w:rsidRPr="008A04FF">
        <w:trPr>
          <w:gridBefore w:val="1"/>
          <w:trHeight w:val="227"/>
        </w:trPr>
        <w:tc>
          <w:tcPr>
            <w:tcW w:w="634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услуг по предоставлению во временное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владение (пользование) мест для стоянок 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а/транспорт. ср-в, а также по хранению  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а/транспорт. ср-в на платных стоянках (за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исключением штрафных)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0,7   </w:t>
            </w:r>
          </w:p>
        </w:tc>
      </w:tr>
      <w:tr w:rsidR="00A11C11" w:rsidRPr="008A04FF">
        <w:trPr>
          <w:gridBefore w:val="1"/>
          <w:trHeight w:val="227"/>
        </w:trPr>
        <w:tc>
          <w:tcPr>
            <w:tcW w:w="634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услуг по передаче во временное владение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и(или) пользование торговых мест, расположенных в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объектах стационарной торговой сети, не имеющих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торговых залов, объектов нестационарной торговой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сети, а также объектов организации общественного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питания, не имеющих зала обслуживания посетителей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0,5   </w:t>
            </w:r>
          </w:p>
        </w:tc>
      </w:tr>
      <w:tr w:rsidR="00A11C11" w:rsidRPr="008A04FF">
        <w:trPr>
          <w:gridBefore w:val="1"/>
          <w:trHeight w:val="227"/>
        </w:trPr>
        <w:tc>
          <w:tcPr>
            <w:tcW w:w="634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Оказание услуг общественного питания,   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осуществляемых через объекты организаций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общественного питания, не имеющих зала            </w:t>
            </w:r>
          </w:p>
          <w:p w:rsidR="00A11C11" w:rsidRPr="00E218AB" w:rsidRDefault="00A11C11">
            <w:pPr>
              <w:pStyle w:val="ConsPlusNonformat"/>
            </w:pPr>
            <w:r w:rsidRPr="00E218AB">
              <w:t xml:space="preserve">обслуживания посетителей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11C11" w:rsidRPr="00E218AB" w:rsidRDefault="00A11C11">
            <w:pPr>
              <w:pStyle w:val="ConsPlusNonformat"/>
            </w:pPr>
            <w:r w:rsidRPr="00E218AB">
              <w:t xml:space="preserve">    1     </w:t>
            </w:r>
          </w:p>
        </w:tc>
      </w:tr>
    </w:tbl>
    <w:p w:rsidR="00A11C11" w:rsidRPr="00E218AB" w:rsidRDefault="00A11C11">
      <w:pPr>
        <w:pStyle w:val="ConsPlusNormal"/>
        <w:ind w:firstLine="540"/>
        <w:jc w:val="both"/>
      </w:pPr>
    </w:p>
    <w:p w:rsidR="00A11C11" w:rsidRDefault="00A11C11" w:rsidP="006800A2">
      <w:pPr>
        <w:pStyle w:val="ConsPlusNormal"/>
        <w:ind w:firstLine="540"/>
        <w:jc w:val="both"/>
      </w:pPr>
      <w:r>
        <w:t>3. Установить, что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месяц, в котором произошли данные изменения. 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"Величина дохода за месяц на квадратный метр".</w:t>
      </w:r>
    </w:p>
    <w:p w:rsidR="00A11C11" w:rsidRDefault="00A11C11" w:rsidP="006800A2">
      <w:pPr>
        <w:pStyle w:val="ConsPlusNormal"/>
        <w:ind w:firstLine="540"/>
        <w:jc w:val="both"/>
      </w:pPr>
      <w:r>
        <w:t>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p w:rsidR="00A11C11" w:rsidRDefault="00A11C11" w:rsidP="006800A2">
      <w:pPr>
        <w:pStyle w:val="ConsPlusNormal"/>
        <w:ind w:firstLine="540"/>
        <w:jc w:val="both"/>
      </w:pPr>
      <w:r>
        <w:t>4. Настоящее решение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A11C11" w:rsidRDefault="00A11C11" w:rsidP="006800A2">
      <w:pPr>
        <w:pStyle w:val="ConsPlusNormal"/>
        <w:ind w:firstLine="540"/>
        <w:jc w:val="both"/>
      </w:pPr>
      <w:r>
        <w:t>5. Признать утратившим силу с 01.01.2009 следующий нормативный правовой акт Усольского муниципального района:</w:t>
      </w:r>
    </w:p>
    <w:p w:rsidR="00A11C11" w:rsidRDefault="00A11C11" w:rsidP="006800A2">
      <w:pPr>
        <w:pStyle w:val="ConsPlusNormal"/>
        <w:ind w:firstLine="540"/>
        <w:jc w:val="both"/>
      </w:pPr>
      <w:r>
        <w:t>решение Земского Собрания N 136 от 15.11.2007 "О едином налоге на вмененный доход для отдельных видов деятельности на территории Усольского района".</w:t>
      </w:r>
    </w:p>
    <w:p w:rsidR="00A11C11" w:rsidRPr="00E218AB" w:rsidRDefault="00A11C11" w:rsidP="006800A2">
      <w:pPr>
        <w:pStyle w:val="ConsPlusNormal"/>
        <w:ind w:firstLine="540"/>
        <w:jc w:val="both"/>
      </w:pPr>
      <w:r>
        <w:t>6. Решение подлежит опубликованию в "Усольской газете".</w:t>
      </w:r>
    </w:p>
    <w:p w:rsidR="00A11C11" w:rsidRPr="00E218AB" w:rsidRDefault="00A11C11">
      <w:pPr>
        <w:pStyle w:val="ConsPlusNormal"/>
        <w:ind w:firstLine="540"/>
        <w:jc w:val="both"/>
      </w:pPr>
    </w:p>
    <w:p w:rsidR="00A11C11" w:rsidRPr="006800A2" w:rsidRDefault="00A11C11">
      <w:pPr>
        <w:pStyle w:val="ConsPlusNormal"/>
        <w:jc w:val="right"/>
        <w:rPr>
          <w:i/>
        </w:rPr>
      </w:pPr>
      <w:r w:rsidRPr="006800A2">
        <w:rPr>
          <w:i/>
        </w:rPr>
        <w:t xml:space="preserve">Глава </w:t>
      </w:r>
    </w:p>
    <w:p w:rsidR="00A11C11" w:rsidRPr="006800A2" w:rsidRDefault="00A11C11">
      <w:pPr>
        <w:pStyle w:val="ConsPlusNormal"/>
        <w:jc w:val="right"/>
        <w:rPr>
          <w:i/>
        </w:rPr>
      </w:pPr>
      <w:r w:rsidRPr="006800A2">
        <w:rPr>
          <w:i/>
        </w:rPr>
        <w:t>муниципального района</w:t>
      </w:r>
    </w:p>
    <w:p w:rsidR="00A11C11" w:rsidRPr="006800A2" w:rsidRDefault="00A11C11">
      <w:pPr>
        <w:pStyle w:val="ConsPlusNormal"/>
        <w:jc w:val="right"/>
        <w:rPr>
          <w:i/>
        </w:rPr>
      </w:pPr>
      <w:r w:rsidRPr="006800A2">
        <w:rPr>
          <w:i/>
        </w:rPr>
        <w:t>Г.П.ШЕХМАТОВ</w:t>
      </w:r>
    </w:p>
    <w:p w:rsidR="00A11C11" w:rsidRPr="00E218AB" w:rsidRDefault="00A11C11">
      <w:pPr>
        <w:pStyle w:val="ConsPlusNormal"/>
        <w:ind w:firstLine="540"/>
        <w:jc w:val="both"/>
      </w:pPr>
    </w:p>
    <w:sectPr w:rsidR="00A11C11" w:rsidRPr="00E218AB" w:rsidSect="00CE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8AB"/>
    <w:rsid w:val="00116759"/>
    <w:rsid w:val="00205270"/>
    <w:rsid w:val="004A47EF"/>
    <w:rsid w:val="00575592"/>
    <w:rsid w:val="006800A2"/>
    <w:rsid w:val="006836AE"/>
    <w:rsid w:val="008A04FF"/>
    <w:rsid w:val="00A11C11"/>
    <w:rsid w:val="00B97926"/>
    <w:rsid w:val="00BE025B"/>
    <w:rsid w:val="00CA0C94"/>
    <w:rsid w:val="00CE1664"/>
    <w:rsid w:val="00D73D06"/>
    <w:rsid w:val="00E2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18A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218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18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218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218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218A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218A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4E77A0E3E559FFCF6B327368ED540092427E156F885890397D52A887C2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2784</Words>
  <Characters>15873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2016-07-25T03:54:00Z</dcterms:created>
  <dcterms:modified xsi:type="dcterms:W3CDTF">2016-10-25T11:45:00Z</dcterms:modified>
</cp:coreProperties>
</file>