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ЗЕМСКОЕ СОБРАНИЕ ГОРНОЗАВОДСКОГО МУНИЦИПАЛЬНОГО РАЙОНА</w:t>
      </w:r>
    </w:p>
    <w:p w:rsidR="00AC7E84" w:rsidRPr="002810D3" w:rsidRDefault="00AC7E84">
      <w:pPr>
        <w:pStyle w:val="ConsPlusTitle"/>
        <w:jc w:val="center"/>
        <w:rPr>
          <w:color w:val="000000"/>
        </w:rPr>
      </w:pPr>
    </w:p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РЕШЕНИЕ</w:t>
      </w:r>
    </w:p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от 28 ноября 2012 г. N 90</w:t>
      </w:r>
    </w:p>
    <w:p w:rsidR="00AC7E84" w:rsidRPr="002810D3" w:rsidRDefault="00AC7E84">
      <w:pPr>
        <w:pStyle w:val="ConsPlusTitle"/>
        <w:jc w:val="center"/>
        <w:rPr>
          <w:color w:val="000000"/>
        </w:rPr>
      </w:pPr>
    </w:p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О ВНЕСЕНИИ ИЗМЕНЕНИЙ В РЕШЕНИЕ ЗЕМСКОГО СОБРАНИЯ</w:t>
      </w:r>
    </w:p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ГОРНОЗАВОДСКОГО МУНИЦИПАЛЬНОГО РАЙОНА ОТ 25.11.2009 N 77</w:t>
      </w:r>
    </w:p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"ОБ УСТАНОВЛЕНИИ ЕДИНОГО НАЛОГА НА ВМЕНЕННЫЙ ДОХОД</w:t>
      </w:r>
    </w:p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ДЛЯ ОТДЕЛЬНЫХ ВИДОВ ПРЕДПРИНИМАТЕЛЬСКОЙ ДЕЯТЕЛЬНОСТИ</w:t>
      </w:r>
    </w:p>
    <w:p w:rsidR="00AC7E84" w:rsidRPr="002810D3" w:rsidRDefault="00AC7E84">
      <w:pPr>
        <w:pStyle w:val="ConsPlusTitle"/>
        <w:jc w:val="center"/>
        <w:rPr>
          <w:color w:val="000000"/>
        </w:rPr>
      </w:pPr>
      <w:r w:rsidRPr="002810D3">
        <w:rPr>
          <w:color w:val="000000"/>
        </w:rPr>
        <w:t>НА ТЕРРИТОРИИ ГОРНОЗАВОДСКОГО МУНИЦИПАЛЬНОГО РАЙОНА"</w:t>
      </w:r>
    </w:p>
    <w:p w:rsidR="00AC7E84" w:rsidRPr="002810D3" w:rsidRDefault="00AC7E84">
      <w:pPr>
        <w:pStyle w:val="ConsPlusNormal"/>
        <w:ind w:firstLine="540"/>
        <w:jc w:val="both"/>
        <w:rPr>
          <w:color w:val="000000"/>
        </w:rPr>
      </w:pP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Руководствуясь главой 26.3 Налогового кодекса Российской Федерации, статьей 25 Устава Горнозаводского муниципального района Пермского края, Земское Собрание Горнозаводского муниципального района Пермского края решает: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 xml:space="preserve">1. Внести изменения в решение Земского Собрания Горнозаводского муниципального района от 25 ноября </w:t>
      </w:r>
      <w:smartTag w:uri="urn:schemas-microsoft-com:office:smarttags" w:element="metricconverter">
        <w:smartTagPr>
          <w:attr w:name="ProductID" w:val="2013 г"/>
        </w:smartTagPr>
        <w:r w:rsidRPr="00FC070A">
          <w:rPr>
            <w:color w:val="000000"/>
          </w:rPr>
          <w:t>2009 г</w:t>
        </w:r>
      </w:smartTag>
      <w:r w:rsidRPr="00FC070A">
        <w:rPr>
          <w:color w:val="000000"/>
        </w:rPr>
        <w:t>. N 77 "Об установлении единого налога на вмененный доход для отдельных видов предпринимательской деятельности на территории Горнозаводского муниципального района" (в редакции решений Земского Собрания Горнозаводского муниципального района от 28.04.2010 N 17, от 31.08.2011 N 60, от 29.08.2012 N 58):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1.1. в приложении 1: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1.1.1. в пункте 3 слово "автотранспортных" заменить словом "автомототранспортных";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1.1.2. в пункте 4 слово "автотранспортных" заменить словом "автомототранспортных";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1.1.3. пункт 11 изложить в следующей редакции: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"11. размещения рекламы с использованием внешних и внутренних поверхностей транспортных средств";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1.2. в приложении 2: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1.2.1. позиции 1.8, 1.9, 3, 7 таблицы пункта 2 "Значения корректирующего коэффициента базовой доходности К2" изложить соответственно в следующей редакции:</w:t>
      </w:r>
    </w:p>
    <w:p w:rsidR="00AC7E84" w:rsidRPr="002810D3" w:rsidRDefault="00AC7E84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/>
      </w:tblPr>
      <w:tblGrid>
        <w:gridCol w:w="1220"/>
        <w:gridCol w:w="7320"/>
        <w:gridCol w:w="1220"/>
      </w:tblGrid>
      <w:tr w:rsidR="00AC7E84" w:rsidRPr="00B275CE">
        <w:trPr>
          <w:trHeight w:val="227"/>
        </w:trPr>
        <w:tc>
          <w:tcPr>
            <w:tcW w:w="1220" w:type="dxa"/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1.8     </w:t>
            </w:r>
          </w:p>
        </w:tc>
        <w:tc>
          <w:tcPr>
            <w:tcW w:w="7320" w:type="dxa"/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Услуги фотоателье и фото- и кинолаборатории, транспортно- 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экспедиторские услуги                                     </w:t>
            </w:r>
          </w:p>
        </w:tc>
        <w:tc>
          <w:tcPr>
            <w:tcW w:w="1220" w:type="dxa"/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1.8.1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услуги фотоателье и фото- и кинолаборатории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0,3 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1.8.2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прочие услуги производственного характера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0,2 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1.9  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>Услуги бань, душевых, саун, парикмахерские и косметические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услуги. Услуги предприятий по прокату. Ритуальные,        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обрядовые услуги                       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1.9.1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услуги бань, душевых, саун             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0,75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1.9.2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парикмахерские и косметические услуги  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0,4 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1.9.3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услуги по прокату                      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0,5 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1.9.4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ритуальные, обрядовые услуги               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0,7 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1.9.5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прочие услуги непроизводственного характера           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0,6 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3    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Оказание услуг по предоставлению во временное владение (в 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пользование) мест для стоянки автомототранспортных        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средств, а также по хранению автомототранспортных средств 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на платных стоянках (за исключением штрафных автостоянок)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1     </w:t>
            </w:r>
          </w:p>
        </w:tc>
      </w:tr>
      <w:tr w:rsidR="00AC7E84" w:rsidRPr="00B275CE">
        <w:trPr>
          <w:trHeight w:val="227"/>
        </w:trPr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7       </w:t>
            </w:r>
          </w:p>
        </w:tc>
        <w:tc>
          <w:tcPr>
            <w:tcW w:w="73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Распространение наружной рекламы с использованием         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>рекламных конструкций. Размещение рекламы с использованием</w:t>
            </w:r>
          </w:p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внешних и внутренних поверхностей транспортных средств    </w:t>
            </w:r>
          </w:p>
        </w:tc>
        <w:tc>
          <w:tcPr>
            <w:tcW w:w="1220" w:type="dxa"/>
            <w:tcBorders>
              <w:top w:val="nil"/>
            </w:tcBorders>
          </w:tcPr>
          <w:p w:rsidR="00AC7E84" w:rsidRPr="002810D3" w:rsidRDefault="00AC7E84">
            <w:pPr>
              <w:pStyle w:val="ConsPlusNonformat"/>
              <w:rPr>
                <w:color w:val="000000"/>
              </w:rPr>
            </w:pPr>
            <w:r w:rsidRPr="002810D3">
              <w:rPr>
                <w:color w:val="000000"/>
              </w:rPr>
              <w:t xml:space="preserve">  0,1   </w:t>
            </w:r>
          </w:p>
        </w:tc>
      </w:tr>
    </w:tbl>
    <w:p w:rsidR="00AC7E84" w:rsidRPr="002810D3" w:rsidRDefault="00AC7E84">
      <w:pPr>
        <w:pStyle w:val="ConsPlusNormal"/>
        <w:ind w:firstLine="540"/>
        <w:jc w:val="both"/>
        <w:rPr>
          <w:color w:val="000000"/>
        </w:rPr>
      </w:pP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2. Опубликовать настоящее решение в районной газете "Новости".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 xml:space="preserve">3. Настоящее решение вступает в силу с 1 января </w:t>
      </w:r>
      <w:smartTag w:uri="urn:schemas-microsoft-com:office:smarttags" w:element="metricconverter">
        <w:smartTagPr>
          <w:attr w:name="ProductID" w:val="2013 г"/>
        </w:smartTagPr>
        <w:r w:rsidRPr="00FC070A">
          <w:rPr>
            <w:color w:val="000000"/>
          </w:rPr>
          <w:t>2013 г</w:t>
        </w:r>
      </w:smartTag>
      <w:r w:rsidRPr="00FC070A">
        <w:rPr>
          <w:color w:val="000000"/>
        </w:rPr>
        <w:t>., но не ранее чем по истечении одного месяца со дня его официального опубликования.</w:t>
      </w:r>
    </w:p>
    <w:p w:rsidR="00AC7E84" w:rsidRPr="00FC070A" w:rsidRDefault="00AC7E84" w:rsidP="00FC070A">
      <w:pPr>
        <w:pStyle w:val="ConsPlusNormal"/>
        <w:ind w:firstLine="540"/>
        <w:jc w:val="both"/>
        <w:rPr>
          <w:color w:val="000000"/>
        </w:rPr>
      </w:pPr>
      <w:r w:rsidRPr="00FC070A">
        <w:rPr>
          <w:color w:val="000000"/>
        </w:rPr>
        <w:t>4. Контроль за исполнением настоящего решения возложить на постоянную депутатскую комиссию Земского Собрания Горнозаводского муниципального района по экономическим и социальным вопросам (Незнамова О.Ю.).</w:t>
      </w:r>
    </w:p>
    <w:p w:rsidR="00AC7E84" w:rsidRPr="002810D3" w:rsidRDefault="00AC7E84">
      <w:pPr>
        <w:pStyle w:val="ConsPlusNormal"/>
        <w:ind w:firstLine="540"/>
        <w:jc w:val="both"/>
        <w:rPr>
          <w:color w:val="000000"/>
        </w:rPr>
      </w:pPr>
    </w:p>
    <w:p w:rsidR="00AC7E84" w:rsidRPr="00FC070A" w:rsidRDefault="00AC7E84">
      <w:pPr>
        <w:pStyle w:val="ConsPlusNormal"/>
        <w:jc w:val="right"/>
        <w:rPr>
          <w:i/>
          <w:color w:val="000000"/>
        </w:rPr>
      </w:pPr>
      <w:r w:rsidRPr="00FC070A">
        <w:rPr>
          <w:i/>
          <w:color w:val="000000"/>
        </w:rPr>
        <w:t>Глава муниципального района -</w:t>
      </w:r>
    </w:p>
    <w:p w:rsidR="00AC7E84" w:rsidRPr="00FC070A" w:rsidRDefault="00AC7E84">
      <w:pPr>
        <w:pStyle w:val="ConsPlusNormal"/>
        <w:jc w:val="right"/>
        <w:rPr>
          <w:i/>
          <w:color w:val="000000"/>
        </w:rPr>
      </w:pPr>
      <w:r w:rsidRPr="00FC070A">
        <w:rPr>
          <w:i/>
          <w:color w:val="000000"/>
        </w:rPr>
        <w:t>глава администрации муниципального района</w:t>
      </w:r>
    </w:p>
    <w:p w:rsidR="00AC7E84" w:rsidRPr="00FC070A" w:rsidRDefault="00AC7E84">
      <w:pPr>
        <w:pStyle w:val="ConsPlusNormal"/>
        <w:jc w:val="right"/>
        <w:rPr>
          <w:i/>
          <w:color w:val="000000"/>
        </w:rPr>
      </w:pPr>
      <w:r w:rsidRPr="00FC070A">
        <w:rPr>
          <w:i/>
          <w:color w:val="000000"/>
        </w:rPr>
        <w:t>А.Н.АФАНАСЬЕВ</w:t>
      </w:r>
    </w:p>
    <w:p w:rsidR="00AC7E84" w:rsidRPr="00FC070A" w:rsidRDefault="00AC7E84">
      <w:pPr>
        <w:pStyle w:val="ConsPlusNormal"/>
        <w:jc w:val="right"/>
        <w:rPr>
          <w:i/>
          <w:color w:val="000000"/>
        </w:rPr>
      </w:pPr>
    </w:p>
    <w:p w:rsidR="00AC7E84" w:rsidRPr="00FC070A" w:rsidRDefault="00AC7E84">
      <w:pPr>
        <w:pStyle w:val="ConsPlusNormal"/>
        <w:jc w:val="right"/>
        <w:rPr>
          <w:i/>
          <w:color w:val="000000"/>
        </w:rPr>
      </w:pPr>
      <w:r w:rsidRPr="00FC070A">
        <w:rPr>
          <w:i/>
          <w:color w:val="000000"/>
        </w:rPr>
        <w:t>Председатель Земского Собрания</w:t>
      </w:r>
    </w:p>
    <w:p w:rsidR="00AC7E84" w:rsidRPr="00FC070A" w:rsidRDefault="00AC7E84">
      <w:pPr>
        <w:pStyle w:val="ConsPlusNormal"/>
        <w:jc w:val="right"/>
        <w:rPr>
          <w:i/>
          <w:color w:val="000000"/>
        </w:rPr>
      </w:pPr>
      <w:r w:rsidRPr="00FC070A">
        <w:rPr>
          <w:i/>
          <w:color w:val="000000"/>
        </w:rPr>
        <w:t>муниципального района</w:t>
      </w:r>
    </w:p>
    <w:p w:rsidR="00AC7E84" w:rsidRPr="002810D3" w:rsidRDefault="00AC7E84">
      <w:pPr>
        <w:pStyle w:val="ConsPlusNormal"/>
        <w:jc w:val="right"/>
        <w:rPr>
          <w:color w:val="000000"/>
        </w:rPr>
      </w:pPr>
      <w:r w:rsidRPr="00FC070A">
        <w:rPr>
          <w:i/>
          <w:color w:val="000000"/>
        </w:rPr>
        <w:t>И.В.ДУБОВ</w:t>
      </w:r>
    </w:p>
    <w:p w:rsidR="00AC7E84" w:rsidRPr="002810D3" w:rsidRDefault="00AC7E84">
      <w:pPr>
        <w:pStyle w:val="ConsPlusNormal"/>
        <w:ind w:firstLine="540"/>
        <w:jc w:val="both"/>
        <w:rPr>
          <w:color w:val="000000"/>
        </w:rPr>
      </w:pPr>
    </w:p>
    <w:sectPr w:rsidR="00AC7E84" w:rsidRPr="002810D3" w:rsidSect="0015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0D3"/>
    <w:rsid w:val="00156731"/>
    <w:rsid w:val="002810D3"/>
    <w:rsid w:val="003B633F"/>
    <w:rsid w:val="006836AE"/>
    <w:rsid w:val="006E6645"/>
    <w:rsid w:val="006F32E8"/>
    <w:rsid w:val="00954C29"/>
    <w:rsid w:val="00AC7E84"/>
    <w:rsid w:val="00B275CE"/>
    <w:rsid w:val="00B91D3B"/>
    <w:rsid w:val="00CA0C94"/>
    <w:rsid w:val="00E51386"/>
    <w:rsid w:val="00FC0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6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810D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2810D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810D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2810D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501</Words>
  <Characters>2861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2016-07-20T05:13:00Z</dcterms:created>
  <dcterms:modified xsi:type="dcterms:W3CDTF">2016-10-26T11:08:00Z</dcterms:modified>
</cp:coreProperties>
</file>