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C9" w:rsidRDefault="004838C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838C9" w:rsidRDefault="004838C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838C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838C9" w:rsidRDefault="004838C9">
            <w:pPr>
              <w:pStyle w:val="ConsPlusNormal"/>
            </w:pPr>
            <w:r>
              <w:t>29 апреля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838C9" w:rsidRDefault="004838C9">
            <w:pPr>
              <w:pStyle w:val="ConsPlusNormal"/>
              <w:jc w:val="right"/>
            </w:pPr>
            <w:r>
              <w:t>N 74-ПК</w:t>
            </w:r>
          </w:p>
        </w:tc>
      </w:tr>
    </w:tbl>
    <w:p w:rsidR="004838C9" w:rsidRDefault="004838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38C9" w:rsidRDefault="004838C9">
      <w:pPr>
        <w:pStyle w:val="ConsPlusNormal"/>
        <w:jc w:val="both"/>
      </w:pPr>
    </w:p>
    <w:p w:rsidR="004838C9" w:rsidRDefault="004838C9">
      <w:pPr>
        <w:pStyle w:val="ConsPlusTitle"/>
        <w:jc w:val="center"/>
      </w:pPr>
      <w:r>
        <w:t>ПЕРМСКИЙ КРАЙ</w:t>
      </w:r>
    </w:p>
    <w:p w:rsidR="004838C9" w:rsidRDefault="004838C9">
      <w:pPr>
        <w:pStyle w:val="ConsPlusTitle"/>
        <w:jc w:val="both"/>
      </w:pPr>
    </w:p>
    <w:p w:rsidR="004838C9" w:rsidRDefault="004838C9">
      <w:pPr>
        <w:pStyle w:val="ConsPlusTitle"/>
        <w:jc w:val="center"/>
      </w:pPr>
      <w:r>
        <w:t>ЗАКОН</w:t>
      </w:r>
    </w:p>
    <w:p w:rsidR="004838C9" w:rsidRDefault="004838C9">
      <w:pPr>
        <w:pStyle w:val="ConsPlusTitle"/>
        <w:jc w:val="both"/>
      </w:pPr>
    </w:p>
    <w:p w:rsidR="004838C9" w:rsidRDefault="004838C9">
      <w:pPr>
        <w:pStyle w:val="ConsPlusTitle"/>
        <w:jc w:val="center"/>
      </w:pPr>
      <w:r>
        <w:t>О ВНЕСЕНИИ ИЗМЕНЕНИЙ В ЗАКОН ПЕРМСКОГО КРАЯ</w:t>
      </w:r>
    </w:p>
    <w:p w:rsidR="004838C9" w:rsidRDefault="004838C9">
      <w:pPr>
        <w:pStyle w:val="ConsPlusTitle"/>
        <w:jc w:val="center"/>
      </w:pPr>
      <w:r>
        <w:t>"ОБ ИНВЕСТИЦИОННОМ НАЛОГОВОМ ВЫЧЕТЕ ПО НАЛОГУ НА ПРИБЫЛЬ</w:t>
      </w:r>
    </w:p>
    <w:p w:rsidR="004838C9" w:rsidRDefault="004838C9">
      <w:pPr>
        <w:pStyle w:val="ConsPlusTitle"/>
        <w:jc w:val="center"/>
      </w:pPr>
      <w:r>
        <w:t>ОРГАНИЗАЦИЙ В ПЕРМСКОМ КРАЕ"</w:t>
      </w:r>
    </w:p>
    <w:p w:rsidR="004838C9" w:rsidRDefault="004838C9">
      <w:pPr>
        <w:pStyle w:val="ConsPlusNormal"/>
        <w:jc w:val="both"/>
      </w:pPr>
    </w:p>
    <w:p w:rsidR="004838C9" w:rsidRDefault="004838C9">
      <w:pPr>
        <w:pStyle w:val="ConsPlusNormal"/>
        <w:jc w:val="right"/>
      </w:pPr>
      <w:proofErr w:type="gramStart"/>
      <w:r>
        <w:t>Принят</w:t>
      </w:r>
      <w:proofErr w:type="gramEnd"/>
    </w:p>
    <w:p w:rsidR="004838C9" w:rsidRDefault="004838C9">
      <w:pPr>
        <w:pStyle w:val="ConsPlusNormal"/>
        <w:jc w:val="right"/>
      </w:pPr>
      <w:r>
        <w:t>Законодательным Собранием</w:t>
      </w:r>
    </w:p>
    <w:p w:rsidR="004838C9" w:rsidRDefault="004838C9">
      <w:pPr>
        <w:pStyle w:val="ConsPlusNormal"/>
        <w:jc w:val="right"/>
      </w:pPr>
      <w:r>
        <w:t>Пермского края</w:t>
      </w:r>
    </w:p>
    <w:p w:rsidR="004838C9" w:rsidRDefault="004838C9">
      <w:pPr>
        <w:pStyle w:val="ConsPlusNormal"/>
        <w:jc w:val="right"/>
      </w:pPr>
      <w:r>
        <w:t>21 апреля 2022 года</w:t>
      </w:r>
    </w:p>
    <w:p w:rsidR="004838C9" w:rsidRDefault="004838C9">
      <w:pPr>
        <w:pStyle w:val="ConsPlusNormal"/>
        <w:jc w:val="both"/>
      </w:pPr>
    </w:p>
    <w:p w:rsidR="004838C9" w:rsidRDefault="004838C9">
      <w:pPr>
        <w:pStyle w:val="ConsPlusTitle"/>
        <w:ind w:firstLine="540"/>
        <w:jc w:val="both"/>
        <w:outlineLvl w:val="0"/>
      </w:pPr>
      <w:r>
        <w:t>Статья 1</w:t>
      </w:r>
    </w:p>
    <w:p w:rsidR="004838C9" w:rsidRDefault="004838C9">
      <w:pPr>
        <w:pStyle w:val="ConsPlusNormal"/>
        <w:jc w:val="both"/>
      </w:pPr>
    </w:p>
    <w:p w:rsidR="004838C9" w:rsidRDefault="004838C9">
      <w:pPr>
        <w:pStyle w:val="ConsPlusNormal"/>
        <w:ind w:firstLine="540"/>
        <w:jc w:val="both"/>
      </w:pPr>
      <w:r>
        <w:t xml:space="preserve">Внести в </w:t>
      </w:r>
      <w:hyperlink r:id="rId6">
        <w:r>
          <w:rPr>
            <w:color w:val="0000FF"/>
          </w:rPr>
          <w:t>Закон</w:t>
        </w:r>
      </w:hyperlink>
      <w:r>
        <w:t xml:space="preserve"> Пермского края от 10.09.2020 N 550-ПК "Об инвестиционном налоговом вычете по налогу на прибыль организаций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14.09.2020, N 37; 01.03.2021, N 9; 06.12.2021, N 49, том 1; </w:t>
      </w:r>
      <w:proofErr w:type="gramStart"/>
      <w:r>
        <w:t>07.03.2022, N 9, том 1; Официальный интернет-портал правовой информации (www.pravo.gov.ru), 11.09.2020; 25.02.2021; 29.11.2021; 03.03.2022) следующие изменения:</w:t>
      </w:r>
      <w:proofErr w:type="gramEnd"/>
    </w:p>
    <w:p w:rsidR="004838C9" w:rsidRDefault="004838C9">
      <w:pPr>
        <w:pStyle w:val="ConsPlusNormal"/>
        <w:spacing w:before="200"/>
        <w:ind w:firstLine="540"/>
        <w:jc w:val="both"/>
      </w:pPr>
      <w:r>
        <w:t xml:space="preserve">1. </w:t>
      </w:r>
      <w:hyperlink r:id="rId7">
        <w:r>
          <w:rPr>
            <w:color w:val="0000FF"/>
          </w:rPr>
          <w:t>Статью 3</w:t>
        </w:r>
      </w:hyperlink>
      <w:r>
        <w:t xml:space="preserve"> изложить в следующей редакции:</w:t>
      </w:r>
    </w:p>
    <w:p w:rsidR="004838C9" w:rsidRDefault="004838C9">
      <w:pPr>
        <w:pStyle w:val="ConsPlusNormal"/>
        <w:spacing w:before="200"/>
        <w:ind w:firstLine="540"/>
        <w:jc w:val="both"/>
      </w:pPr>
      <w:r>
        <w:t>"Статья 3. Расходы, в отношении которых предоставляется право на применение инвестиционного налогового вычета</w:t>
      </w:r>
    </w:p>
    <w:p w:rsidR="004838C9" w:rsidRDefault="004838C9">
      <w:pPr>
        <w:pStyle w:val="ConsPlusNormal"/>
        <w:jc w:val="both"/>
      </w:pPr>
    </w:p>
    <w:p w:rsidR="004838C9" w:rsidRDefault="004838C9">
      <w:pPr>
        <w:pStyle w:val="ConsPlusNormal"/>
        <w:ind w:firstLine="540"/>
        <w:jc w:val="both"/>
      </w:pPr>
      <w:r>
        <w:t>Право на применение инвестиционного налогового вычета предоставляется налогоплательщику в отношении следующих расходов:</w:t>
      </w:r>
    </w:p>
    <w:p w:rsidR="004838C9" w:rsidRDefault="004838C9">
      <w:pPr>
        <w:pStyle w:val="ConsPlusNormal"/>
        <w:spacing w:before="200"/>
        <w:ind w:firstLine="540"/>
        <w:jc w:val="both"/>
      </w:pPr>
      <w:r>
        <w:t>1) составляющих первоначальную стоимость основных сре</w:t>
      </w:r>
      <w:proofErr w:type="gramStart"/>
      <w:r>
        <w:t>дств в с</w:t>
      </w:r>
      <w:proofErr w:type="gramEnd"/>
      <w:r>
        <w:t xml:space="preserve">оответствии с </w:t>
      </w:r>
      <w:hyperlink r:id="rId8">
        <w:r>
          <w:rPr>
            <w:color w:val="0000FF"/>
          </w:rPr>
          <w:t>абзацем вторым пункта 1 статьи 257</w:t>
        </w:r>
      </w:hyperlink>
      <w:r>
        <w:t xml:space="preserve"> Налогового кодекса Российской Федерации, возникших в рамках реализации приоритетного инвестиционного проекта Пермского края, которому присвоена соответствующая категория, и предусмотренных </w:t>
      </w:r>
      <w:hyperlink r:id="rId9">
        <w:r>
          <w:rPr>
            <w:color w:val="0000FF"/>
          </w:rPr>
          <w:t>абзацем первым пункта 4 статьи 286.1</w:t>
        </w:r>
      </w:hyperlink>
      <w:r>
        <w:t xml:space="preserve"> Налогового кодекса Российской Федерации, за исключением объектов основных средств:</w:t>
      </w:r>
    </w:p>
    <w:p w:rsidR="004838C9" w:rsidRDefault="004838C9">
      <w:pPr>
        <w:pStyle w:val="ConsPlusNormal"/>
        <w:spacing w:before="200"/>
        <w:ind w:firstLine="540"/>
        <w:jc w:val="both"/>
      </w:pPr>
      <w:r>
        <w:t xml:space="preserve">а) </w:t>
      </w:r>
      <w:proofErr w:type="gramStart"/>
      <w:r>
        <w:t>приобретенных</w:t>
      </w:r>
      <w:proofErr w:type="gramEnd"/>
      <w:r>
        <w:t xml:space="preserve"> в результате реорганизации;</w:t>
      </w:r>
    </w:p>
    <w:p w:rsidR="004838C9" w:rsidRDefault="004838C9">
      <w:pPr>
        <w:pStyle w:val="ConsPlusNormal"/>
        <w:spacing w:before="200"/>
        <w:ind w:firstLine="540"/>
        <w:jc w:val="both"/>
      </w:pPr>
      <w:r>
        <w:t>б) приобретенных у связанных сторон, за исключением случаев, когда связанная сторона по агентскому договору с налогоплательщиком от своего имени и по поручению налогоплательщика, который вправе применить инвестиционный налоговый вычет, приобретает объекты основных средств, ранее не используемых другими юридическими и (или) физическими лицами;</w:t>
      </w:r>
    </w:p>
    <w:p w:rsidR="004838C9" w:rsidRDefault="004838C9">
      <w:pPr>
        <w:pStyle w:val="ConsPlusNormal"/>
        <w:spacing w:before="200"/>
        <w:ind w:firstLine="540"/>
        <w:jc w:val="both"/>
      </w:pPr>
      <w:r>
        <w:t xml:space="preserve">в) </w:t>
      </w:r>
      <w:proofErr w:type="gramStart"/>
      <w:r>
        <w:t>полученных</w:t>
      </w:r>
      <w:proofErr w:type="gramEnd"/>
      <w:r>
        <w:t xml:space="preserve"> безвозмездно (первоначальная стоимость которых определяется как сумма, в которую оценено такое имущество в соответствии с </w:t>
      </w:r>
      <w:hyperlink r:id="rId10">
        <w:r>
          <w:rPr>
            <w:color w:val="0000FF"/>
          </w:rPr>
          <w:t>пунктом 8 статьи 250</w:t>
        </w:r>
      </w:hyperlink>
      <w:r>
        <w:t xml:space="preserve"> Налогового кодекса Российской Федерации);</w:t>
      </w:r>
    </w:p>
    <w:p w:rsidR="004838C9" w:rsidRDefault="004838C9">
      <w:pPr>
        <w:pStyle w:val="ConsPlusNormal"/>
        <w:spacing w:before="200"/>
        <w:ind w:firstLine="540"/>
        <w:jc w:val="both"/>
      </w:pPr>
      <w:r>
        <w:t xml:space="preserve">г) выявленных в результате инвентаризации (первоначальная стоимость которых определяется как сумма, в которую оценено такое имущество в соответствии с </w:t>
      </w:r>
      <w:hyperlink r:id="rId11">
        <w:r>
          <w:rPr>
            <w:color w:val="0000FF"/>
          </w:rPr>
          <w:t>пунктом 20 статьи 250</w:t>
        </w:r>
      </w:hyperlink>
      <w:r>
        <w:t xml:space="preserve"> Налогового кодекса Российской Федерации);</w:t>
      </w:r>
    </w:p>
    <w:p w:rsidR="004838C9" w:rsidRDefault="004838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838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8C9" w:rsidRDefault="004838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8C9" w:rsidRDefault="004838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38C9" w:rsidRDefault="004838C9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9 ч. 1 ст. 1 </w:t>
            </w:r>
            <w:hyperlink w:anchor="P46">
              <w:r>
                <w:rPr>
                  <w:color w:val="0000FF"/>
                </w:rPr>
                <w:t>не подлежит</w:t>
              </w:r>
            </w:hyperlink>
            <w:r>
              <w:rPr>
                <w:color w:val="392C69"/>
              </w:rPr>
              <w:t xml:space="preserve"> применению налогоплательщиками, заключившими инвестиционное соглашение в целях применения инвестиционного налогового вычета на реализацию приоритетного инвестиционного проекта Пермского края до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8C9" w:rsidRDefault="004838C9">
            <w:pPr>
              <w:pStyle w:val="ConsPlusNormal"/>
            </w:pPr>
          </w:p>
        </w:tc>
      </w:tr>
    </w:tbl>
    <w:p w:rsidR="004838C9" w:rsidRDefault="004838C9">
      <w:pPr>
        <w:pStyle w:val="ConsPlusNormal"/>
        <w:spacing w:before="260"/>
        <w:ind w:firstLine="540"/>
        <w:jc w:val="both"/>
      </w:pPr>
      <w:bookmarkStart w:id="0" w:name="P30"/>
      <w:bookmarkEnd w:id="0"/>
      <w:proofErr w:type="gramStart"/>
      <w:r>
        <w:t xml:space="preserve">2) составляющих величину изменения первоначальной стоимости основного средства в случаях, указанных в </w:t>
      </w:r>
      <w:hyperlink r:id="rId12">
        <w:r>
          <w:rPr>
            <w:color w:val="0000FF"/>
          </w:rPr>
          <w:t>пункте 2 статьи 257</w:t>
        </w:r>
      </w:hyperlink>
      <w:r>
        <w:t xml:space="preserve"> Налогового кодекса Российской Федерации (за </w:t>
      </w:r>
      <w:r>
        <w:lastRenderedPageBreak/>
        <w:t xml:space="preserve">исключением частичной ликвидации основного средства), возникших в рамках реализации приоритетного инвестиционного проекта Пермского края, которому присвоена соответствующая категория, и предусмотренных </w:t>
      </w:r>
      <w:hyperlink r:id="rId13">
        <w:r>
          <w:rPr>
            <w:color w:val="0000FF"/>
          </w:rPr>
          <w:t>абзацем первым пункта 4 статьи 286.1</w:t>
        </w:r>
      </w:hyperlink>
      <w:r>
        <w:t xml:space="preserve"> Налогового кодекса Российской Федерации;</w:t>
      </w:r>
      <w:proofErr w:type="gramEnd"/>
    </w:p>
    <w:p w:rsidR="004838C9" w:rsidRDefault="004838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838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8C9" w:rsidRDefault="004838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8C9" w:rsidRDefault="004838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38C9" w:rsidRDefault="004838C9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10 ч. 1 ст. 1 </w:t>
            </w:r>
            <w:hyperlink w:anchor="P46">
              <w:r>
                <w:rPr>
                  <w:color w:val="0000FF"/>
                </w:rPr>
                <w:t>не подлежит</w:t>
              </w:r>
            </w:hyperlink>
            <w:r>
              <w:rPr>
                <w:color w:val="392C69"/>
              </w:rPr>
              <w:t xml:space="preserve"> применению налогоплательщиками, заключившими инвестиционное соглашение в целях применения инвестиционного налогового вычета на реализацию приоритетного инвестиционного проекта Пермского края до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8C9" w:rsidRDefault="004838C9">
            <w:pPr>
              <w:pStyle w:val="ConsPlusNormal"/>
            </w:pPr>
          </w:p>
        </w:tc>
      </w:tr>
    </w:tbl>
    <w:p w:rsidR="004838C9" w:rsidRDefault="004838C9">
      <w:pPr>
        <w:pStyle w:val="ConsPlusNormal"/>
        <w:spacing w:before="260"/>
        <w:ind w:firstLine="540"/>
        <w:jc w:val="both"/>
      </w:pPr>
      <w:bookmarkStart w:id="1" w:name="P32"/>
      <w:bookmarkEnd w:id="1"/>
      <w:r>
        <w:t xml:space="preserve">3) на создание объектов транспортной, коммунальной и социальной инфраструктур, в том числе расходов на их приобретение, сооружение, доведение до состояния, в котором они пригодны для использования, с учетом налога на добавленную стоимость и акцизов, не принимаемых к вычету в соответствии с положениями </w:t>
      </w:r>
      <w:hyperlink r:id="rId14">
        <w:r>
          <w:rPr>
            <w:color w:val="0000FF"/>
          </w:rPr>
          <w:t>глав 21</w:t>
        </w:r>
      </w:hyperlink>
      <w:r>
        <w:t xml:space="preserve">, </w:t>
      </w:r>
      <w:hyperlink r:id="rId15">
        <w:r>
          <w:rPr>
            <w:color w:val="0000FF"/>
          </w:rPr>
          <w:t>22</w:t>
        </w:r>
      </w:hyperlink>
      <w:r>
        <w:t xml:space="preserve"> Налогового кодекса Российской Федерации.</w:t>
      </w:r>
    </w:p>
    <w:p w:rsidR="004838C9" w:rsidRDefault="004838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838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8C9" w:rsidRDefault="004838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8C9" w:rsidRDefault="004838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38C9" w:rsidRDefault="004838C9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11 ч. 1 ст. 1 </w:t>
            </w:r>
            <w:hyperlink w:anchor="P46">
              <w:r>
                <w:rPr>
                  <w:color w:val="0000FF"/>
                </w:rPr>
                <w:t>не подлежит</w:t>
              </w:r>
            </w:hyperlink>
            <w:r>
              <w:rPr>
                <w:color w:val="392C69"/>
              </w:rPr>
              <w:t xml:space="preserve"> применению налогоплательщиками, заключившими инвестиционное соглашение в целях применения инвестиционного налогового вычета на реализацию приоритетного инвестиционного проекта Пермского края до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8C9" w:rsidRDefault="004838C9">
            <w:pPr>
              <w:pStyle w:val="ConsPlusNormal"/>
            </w:pPr>
          </w:p>
        </w:tc>
      </w:tr>
    </w:tbl>
    <w:p w:rsidR="004838C9" w:rsidRDefault="004838C9">
      <w:pPr>
        <w:pStyle w:val="ConsPlusNormal"/>
        <w:spacing w:before="260"/>
        <w:ind w:firstLine="540"/>
        <w:jc w:val="both"/>
      </w:pPr>
      <w:bookmarkStart w:id="2" w:name="P34"/>
      <w:bookmarkEnd w:id="2"/>
      <w:proofErr w:type="gramStart"/>
      <w:r>
        <w:t xml:space="preserve">При этом создание указанных объектов транспортной, коммунальной и социальной инфраструктур является обязательством, предусмотренным условиями договора о комплексном развитии территории, предусматривающего строительство многоквартирного дома (домов) или дома (домов) блокированной застройки, заключенного с налогоплательщиком до дня вступления в силу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30 декабря 2020 года N 494-ФЗ "О внесении изменений в Градостроительный кодекс Российской Федерации и отдельные законодательные акты Российской Федерации</w:t>
      </w:r>
      <w:proofErr w:type="gramEnd"/>
      <w:r>
        <w:t xml:space="preserve"> в целях обеспечения комплексного развития территорий" в соответствии с положениями Градостроительного </w:t>
      </w:r>
      <w:hyperlink r:id="rId17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4838C9" w:rsidRDefault="004838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838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8C9" w:rsidRDefault="004838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8C9" w:rsidRDefault="004838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38C9" w:rsidRDefault="004838C9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12 ч. 1 ст. 1 </w:t>
            </w:r>
            <w:hyperlink w:anchor="P46">
              <w:r>
                <w:rPr>
                  <w:color w:val="0000FF"/>
                </w:rPr>
                <w:t>не подлежит</w:t>
              </w:r>
            </w:hyperlink>
            <w:r>
              <w:rPr>
                <w:color w:val="392C69"/>
              </w:rPr>
              <w:t xml:space="preserve"> применению налогоплательщиками, заключившими инвестиционное соглашение в целях применения инвестиционного налогового вычета на реализацию приоритетного инвестиционного проекта Пермского края до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8C9" w:rsidRDefault="004838C9">
            <w:pPr>
              <w:pStyle w:val="ConsPlusNormal"/>
            </w:pPr>
          </w:p>
        </w:tc>
      </w:tr>
    </w:tbl>
    <w:p w:rsidR="004838C9" w:rsidRDefault="004838C9">
      <w:pPr>
        <w:pStyle w:val="ConsPlusNormal"/>
        <w:spacing w:before="260"/>
        <w:ind w:firstLine="540"/>
        <w:jc w:val="both"/>
      </w:pPr>
      <w:bookmarkStart w:id="3" w:name="P36"/>
      <w:bookmarkEnd w:id="3"/>
      <w:proofErr w:type="gramStart"/>
      <w:r>
        <w:t xml:space="preserve">4) на научные исследования и (или) опытно-конструкторские разработки, указанных в </w:t>
      </w:r>
      <w:hyperlink r:id="rId18">
        <w:r>
          <w:rPr>
            <w:color w:val="0000FF"/>
          </w:rPr>
          <w:t>подпунктах 1</w:t>
        </w:r>
      </w:hyperlink>
      <w:r>
        <w:t>-</w:t>
      </w:r>
      <w:hyperlink r:id="rId19">
        <w:r>
          <w:rPr>
            <w:color w:val="0000FF"/>
          </w:rPr>
          <w:t>5 пункта 2 статьи 262</w:t>
        </w:r>
      </w:hyperlink>
      <w:r>
        <w:t xml:space="preserve"> Налогового кодекса Российской Федерации.".</w:t>
      </w:r>
      <w:proofErr w:type="gramEnd"/>
    </w:p>
    <w:p w:rsidR="004838C9" w:rsidRDefault="004838C9">
      <w:pPr>
        <w:pStyle w:val="ConsPlusNormal"/>
        <w:spacing w:before="200"/>
        <w:ind w:firstLine="540"/>
        <w:jc w:val="both"/>
      </w:pPr>
      <w:r>
        <w:t xml:space="preserve">2. </w:t>
      </w:r>
      <w:hyperlink r:id="rId20">
        <w:r>
          <w:rPr>
            <w:color w:val="0000FF"/>
          </w:rPr>
          <w:t>Часть 1 статьи 4</w:t>
        </w:r>
      </w:hyperlink>
      <w:r>
        <w:t xml:space="preserve"> изложить в следующей редакции:</w:t>
      </w:r>
    </w:p>
    <w:p w:rsidR="004838C9" w:rsidRDefault="004838C9">
      <w:pPr>
        <w:pStyle w:val="ConsPlusNormal"/>
        <w:spacing w:before="200"/>
        <w:ind w:firstLine="540"/>
        <w:jc w:val="both"/>
      </w:pPr>
      <w:r>
        <w:t>"1. Инвестиционный налоговый вычет устанавливается в совокупности от суммы расходов, в отношении которых предоставляется право на применение инвестиционного налогового вычета, в следующих размерах:</w:t>
      </w:r>
    </w:p>
    <w:p w:rsidR="004838C9" w:rsidRDefault="004838C9">
      <w:pPr>
        <w:pStyle w:val="ConsPlusNormal"/>
        <w:spacing w:before="200"/>
        <w:ind w:firstLine="540"/>
        <w:jc w:val="both"/>
      </w:pPr>
      <w:r>
        <w:t>1) не более 50 процентов суммы расходов, указанных в пунктах 1, 4 статьи 3 настоящего Закона;</w:t>
      </w:r>
    </w:p>
    <w:p w:rsidR="004838C9" w:rsidRDefault="004838C9">
      <w:pPr>
        <w:pStyle w:val="ConsPlusNormal"/>
        <w:spacing w:before="200"/>
        <w:ind w:firstLine="540"/>
        <w:jc w:val="both"/>
      </w:pPr>
      <w:r>
        <w:t>2) не более 30 процентов суммы расходов, указанных в пунктах 2, 3 статьи 3 настоящего Закона.</w:t>
      </w:r>
    </w:p>
    <w:p w:rsidR="004838C9" w:rsidRDefault="004838C9">
      <w:pPr>
        <w:pStyle w:val="ConsPlusNormal"/>
        <w:spacing w:before="200"/>
        <w:ind w:firstLine="540"/>
        <w:jc w:val="both"/>
      </w:pPr>
      <w:r>
        <w:t>Сумма расходов, в отношении которых применен инвестиционный налоговый вычет, не может превышать сумму инвестиций, указанных в инвестиционном соглашении в целях применения инвестиционного налогового вычета</w:t>
      </w:r>
      <w:proofErr w:type="gramStart"/>
      <w:r>
        <w:t>.".</w:t>
      </w:r>
      <w:proofErr w:type="gramEnd"/>
    </w:p>
    <w:p w:rsidR="004838C9" w:rsidRDefault="004838C9">
      <w:pPr>
        <w:pStyle w:val="ConsPlusNormal"/>
        <w:jc w:val="both"/>
      </w:pPr>
    </w:p>
    <w:p w:rsidR="004838C9" w:rsidRDefault="004838C9">
      <w:pPr>
        <w:pStyle w:val="ConsPlusTitle"/>
        <w:ind w:firstLine="540"/>
        <w:jc w:val="both"/>
        <w:outlineLvl w:val="0"/>
      </w:pPr>
      <w:r>
        <w:t>Статья 2</w:t>
      </w:r>
    </w:p>
    <w:p w:rsidR="004838C9" w:rsidRDefault="004838C9">
      <w:pPr>
        <w:pStyle w:val="ConsPlusNormal"/>
        <w:jc w:val="both"/>
      </w:pPr>
    </w:p>
    <w:p w:rsidR="004838C9" w:rsidRDefault="004838C9">
      <w:pPr>
        <w:pStyle w:val="ConsPlusNormal"/>
        <w:ind w:firstLine="540"/>
        <w:jc w:val="both"/>
      </w:pPr>
      <w:r>
        <w:t>1. Настоящий Закон вступает в силу со дня его официального опубликования и распространяется на правоотношения, возникшие с 1 января 2022 года.</w:t>
      </w:r>
    </w:p>
    <w:p w:rsidR="004838C9" w:rsidRDefault="004838C9">
      <w:pPr>
        <w:pStyle w:val="ConsPlusNormal"/>
        <w:spacing w:before="200"/>
        <w:ind w:firstLine="540"/>
        <w:jc w:val="both"/>
      </w:pPr>
      <w:bookmarkStart w:id="4" w:name="P46"/>
      <w:bookmarkEnd w:id="4"/>
      <w:r>
        <w:t xml:space="preserve">2. Положения </w:t>
      </w:r>
      <w:hyperlink w:anchor="P30">
        <w:r>
          <w:rPr>
            <w:color w:val="0000FF"/>
          </w:rPr>
          <w:t>абзацев девятого</w:t>
        </w:r>
      </w:hyperlink>
      <w:r>
        <w:t xml:space="preserve">, </w:t>
      </w:r>
      <w:hyperlink w:anchor="P32">
        <w:r>
          <w:rPr>
            <w:color w:val="0000FF"/>
          </w:rPr>
          <w:t>десятого</w:t>
        </w:r>
      </w:hyperlink>
      <w:r>
        <w:t xml:space="preserve">, </w:t>
      </w:r>
      <w:hyperlink w:anchor="P34">
        <w:r>
          <w:rPr>
            <w:color w:val="0000FF"/>
          </w:rPr>
          <w:t>одиннадцатого</w:t>
        </w:r>
      </w:hyperlink>
      <w:r>
        <w:t xml:space="preserve"> и </w:t>
      </w:r>
      <w:hyperlink w:anchor="P36">
        <w:r>
          <w:rPr>
            <w:color w:val="0000FF"/>
          </w:rPr>
          <w:t>двенадцатого части 1 статьи 1</w:t>
        </w:r>
      </w:hyperlink>
      <w:r>
        <w:t xml:space="preserve"> настоящего Закона не подлежат применению налогоплательщиками, заключившими инвестиционное соглашение в целях применения инвестиционного налогового вычета на реализацию приоритетного инвестиционного проекта Пермского края до 1 января 2022 года.</w:t>
      </w:r>
    </w:p>
    <w:p w:rsidR="004838C9" w:rsidRDefault="004838C9">
      <w:pPr>
        <w:pStyle w:val="ConsPlusNormal"/>
        <w:jc w:val="both"/>
      </w:pPr>
    </w:p>
    <w:p w:rsidR="004838C9" w:rsidRDefault="004838C9">
      <w:pPr>
        <w:pStyle w:val="ConsPlusNormal"/>
        <w:jc w:val="right"/>
      </w:pPr>
      <w:r>
        <w:t>Губернатор</w:t>
      </w:r>
    </w:p>
    <w:p w:rsidR="004838C9" w:rsidRDefault="004838C9">
      <w:pPr>
        <w:pStyle w:val="ConsPlusNormal"/>
        <w:jc w:val="right"/>
      </w:pPr>
      <w:r>
        <w:t>Пермского края</w:t>
      </w:r>
    </w:p>
    <w:p w:rsidR="004838C9" w:rsidRDefault="004838C9">
      <w:pPr>
        <w:pStyle w:val="ConsPlusNormal"/>
        <w:jc w:val="right"/>
      </w:pPr>
      <w:r>
        <w:t>Д.Н.МАХОНИН</w:t>
      </w:r>
    </w:p>
    <w:p w:rsidR="004838C9" w:rsidRDefault="004838C9">
      <w:pPr>
        <w:pStyle w:val="ConsPlusNormal"/>
      </w:pPr>
      <w:r>
        <w:t>29.04.2022 N 74-ПК</w:t>
      </w:r>
    </w:p>
    <w:p w:rsidR="004838C9" w:rsidRDefault="004838C9">
      <w:pPr>
        <w:pStyle w:val="ConsPlusNormal"/>
        <w:jc w:val="both"/>
      </w:pPr>
    </w:p>
    <w:p w:rsidR="004838C9" w:rsidRDefault="004838C9">
      <w:pPr>
        <w:pStyle w:val="ConsPlusNormal"/>
        <w:jc w:val="both"/>
      </w:pPr>
    </w:p>
    <w:p w:rsidR="004838C9" w:rsidRDefault="004838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7668" w:rsidRDefault="00377668">
      <w:bookmarkStart w:id="5" w:name="_GoBack"/>
      <w:bookmarkEnd w:id="5"/>
    </w:p>
    <w:sectPr w:rsidR="00377668" w:rsidSect="00DF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8C9"/>
    <w:rsid w:val="00377668"/>
    <w:rsid w:val="0048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8C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838C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838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8C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838C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838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D56AB843F252D38E4D9F2378E4190FB4B137FA2E507B3EB118986CF705568213ADED5C4363982CAAA14ABAB51F867CB644CF09CACCjCzBJ" TargetMode="External"/><Relationship Id="rId13" Type="http://schemas.openxmlformats.org/officeDocument/2006/relationships/hyperlink" Target="consultantplus://offline/ref=D4D56AB843F252D38E4D9F2378E4190FB4B137FA2E507B3EB118986CF705568213ADED5A41629F27F5A45FABED108D6BA84CD915C8CECBj9z9J" TargetMode="External"/><Relationship Id="rId18" Type="http://schemas.openxmlformats.org/officeDocument/2006/relationships/hyperlink" Target="consultantplus://offline/ref=D4D56AB843F252D38E4D9F2378E4190FB4B137FA2E507B3EB118986CF705568213ADED5E47639E2CAAA14ABAB51F867CB644CF09CACCjCzB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4D56AB843F252D38E4D812E6E884404B8BB6BFF2855746CE94E9E3BA85550D753EDEB0C02209526FEF00EEDBF16DB33F219DC09C3D0C99348976929j0z4J" TargetMode="External"/><Relationship Id="rId12" Type="http://schemas.openxmlformats.org/officeDocument/2006/relationships/hyperlink" Target="consultantplus://offline/ref=D4D56AB843F252D38E4D9F2378E4190FB4B137FA2E507B3EB118986CF705568213ADED5A4064982FF5A45FABED108D6BA84CD915C8CECBj9z9J" TargetMode="External"/><Relationship Id="rId17" Type="http://schemas.openxmlformats.org/officeDocument/2006/relationships/hyperlink" Target="consultantplus://offline/ref=D4D56AB843F252D38E4D9F2378E4190FB3B931F62B557B3EB118986CF705568201ADB555436D8627F6EE0CEFBAj1zF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4D56AB843F252D38E4D9F2378E4190FB3B737F42E547B3EB118986CF705568201ADB555436D8627F6EE0CEFBAj1zFJ" TargetMode="External"/><Relationship Id="rId20" Type="http://schemas.openxmlformats.org/officeDocument/2006/relationships/hyperlink" Target="consultantplus://offline/ref=D4D56AB843F252D38E4D812E6E884404B8BB6BFF2855746CE94E9E3BA85550D753EDEB0C02209526FEF00EECBC16DB33F219DC09C3D0C99348976929j0z4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4D56AB843F252D38E4D812E6E884404B8BB6BFF2855746CE94E9E3BA85550D753EDEB0C1020CD2AFCF910EFB0038D62B4j4zEJ" TargetMode="External"/><Relationship Id="rId11" Type="http://schemas.openxmlformats.org/officeDocument/2006/relationships/hyperlink" Target="consultantplus://offline/ref=D4D56AB843F252D38E4D9F2378E4190FB4B137FA2E507B3EB118986CF705568213ADED5A406C9A2CAAA14ABAB51F867CB644CF09CACCjCzB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4D56AB843F252D38E4D9F2378E4190FB4B137FA2E507B3EB118986CF705568213ADED5941649E27F8FB5ABEFC488260BF52D103D4CCC999j5z4J" TargetMode="External"/><Relationship Id="rId10" Type="http://schemas.openxmlformats.org/officeDocument/2006/relationships/hyperlink" Target="consultantplus://offline/ref=D4D56AB843F252D38E4D9F2378E4190FB4B137FA2E507B3EB118986CF705568213ADED5941659020FAFB5ABEFC488260BF52D103D4CCC999j5z4J" TargetMode="External"/><Relationship Id="rId19" Type="http://schemas.openxmlformats.org/officeDocument/2006/relationships/hyperlink" Target="consultantplus://offline/ref=D4D56AB843F252D38E4D9F2378E4190FB4B137FA2E507B3EB118986CF705568213ADED5E476C982CAAA14ABAB51F867CB644CF09CACCjCz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D56AB843F252D38E4D9F2378E4190FB4B137FA2E507B3EB118986CF705568213ADED5A41629F27F5A45FABED108D6BA84CD915C8CECBj9z9J" TargetMode="External"/><Relationship Id="rId14" Type="http://schemas.openxmlformats.org/officeDocument/2006/relationships/hyperlink" Target="consultantplus://offline/ref=D4D56AB843F252D38E4D9F2378E4190FB4B137FA2E507B3EB118986CF705568213ADED5941649827F6FB5ABEFC488260BF52D103D4CCC999j5z4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 Ирина Евгеньевна</dc:creator>
  <cp:lastModifiedBy>Носкова Ирина Евгеньевна</cp:lastModifiedBy>
  <cp:revision>1</cp:revision>
  <dcterms:created xsi:type="dcterms:W3CDTF">2022-08-29T09:51:00Z</dcterms:created>
  <dcterms:modified xsi:type="dcterms:W3CDTF">2022-08-29T09:51:00Z</dcterms:modified>
</cp:coreProperties>
</file>