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55" w:rsidRDefault="0022675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6755" w:rsidRDefault="002267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67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6755" w:rsidRDefault="00226755">
            <w:pPr>
              <w:pStyle w:val="ConsPlusNormal"/>
              <w:outlineLvl w:val="0"/>
            </w:pPr>
            <w:r>
              <w:t>9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6755" w:rsidRDefault="00226755">
            <w:pPr>
              <w:pStyle w:val="ConsPlusNormal"/>
              <w:jc w:val="right"/>
              <w:outlineLvl w:val="0"/>
            </w:pPr>
            <w:r>
              <w:t>N 128-ПК</w:t>
            </w:r>
          </w:p>
        </w:tc>
      </w:tr>
    </w:tbl>
    <w:p w:rsidR="00226755" w:rsidRDefault="002267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Title"/>
        <w:jc w:val="center"/>
      </w:pPr>
      <w:r>
        <w:t>ПЕРМСКИЙ КРАЙ</w:t>
      </w:r>
    </w:p>
    <w:p w:rsidR="00226755" w:rsidRDefault="00226755">
      <w:pPr>
        <w:pStyle w:val="ConsPlusTitle"/>
        <w:jc w:val="both"/>
      </w:pPr>
    </w:p>
    <w:p w:rsidR="00226755" w:rsidRDefault="00226755">
      <w:pPr>
        <w:pStyle w:val="ConsPlusTitle"/>
        <w:jc w:val="center"/>
      </w:pPr>
      <w:r>
        <w:t>ЗАКОН</w:t>
      </w:r>
    </w:p>
    <w:p w:rsidR="00226755" w:rsidRDefault="00226755">
      <w:pPr>
        <w:pStyle w:val="ConsPlusTitle"/>
        <w:jc w:val="both"/>
      </w:pPr>
    </w:p>
    <w:p w:rsidR="00226755" w:rsidRDefault="00226755">
      <w:pPr>
        <w:pStyle w:val="ConsPlusTitle"/>
        <w:jc w:val="center"/>
      </w:pPr>
      <w:r>
        <w:t xml:space="preserve">О ВНЕСЕНИИ ИЗМЕНЕНИЙ В ЗАКОН ПЕРМСКОГО КРАЯ "О </w:t>
      </w:r>
      <w:proofErr w:type="gramStart"/>
      <w:r>
        <w:t>ПАТЕНТНОЙ</w:t>
      </w:r>
      <w:proofErr w:type="gramEnd"/>
    </w:p>
    <w:p w:rsidR="00226755" w:rsidRDefault="00226755">
      <w:pPr>
        <w:pStyle w:val="ConsPlusTitle"/>
        <w:jc w:val="center"/>
      </w:pPr>
      <w:r>
        <w:t>СИСТЕМЕ НАЛОГООБЛОЖЕНИЯ В ПЕРМСКОМ КРАЕ, УСТАНОВЛЕНИИ</w:t>
      </w:r>
    </w:p>
    <w:p w:rsidR="00226755" w:rsidRDefault="00226755">
      <w:pPr>
        <w:pStyle w:val="ConsPlusTitle"/>
        <w:jc w:val="center"/>
      </w:pPr>
      <w:r>
        <w:t xml:space="preserve">НАЛОГОВОЙ СТАВКИ В РАЗМЕРЕ 0 ПРОЦЕНТОВ </w:t>
      </w:r>
      <w:proofErr w:type="gramStart"/>
      <w:r>
        <w:t>ДЛЯ</w:t>
      </w:r>
      <w:proofErr w:type="gramEnd"/>
      <w:r>
        <w:t xml:space="preserve"> ОТДЕЛЬНОЙ</w:t>
      </w:r>
    </w:p>
    <w:p w:rsidR="00226755" w:rsidRDefault="00226755">
      <w:pPr>
        <w:pStyle w:val="ConsPlusTitle"/>
        <w:jc w:val="center"/>
      </w:pPr>
      <w:r>
        <w:t>КАТЕГОРИИ НАЛОГОПЛАТЕЛЬЩИКОВ, ПРИМЕНЯЮЩИХ ПАТЕНТНУЮ СИСТЕМУ</w:t>
      </w:r>
    </w:p>
    <w:p w:rsidR="00226755" w:rsidRDefault="00226755">
      <w:pPr>
        <w:pStyle w:val="ConsPlusTitle"/>
        <w:jc w:val="center"/>
      </w:pPr>
      <w:r>
        <w:t xml:space="preserve">НАЛОГООБЛОЖЕНИЯ, И О ВНЕСЕНИИ ИЗМЕНЕНИЯ В ЗАКОН </w:t>
      </w:r>
      <w:proofErr w:type="gramStart"/>
      <w:r>
        <w:t>ПЕРМСКОЙ</w:t>
      </w:r>
      <w:proofErr w:type="gramEnd"/>
    </w:p>
    <w:p w:rsidR="00226755" w:rsidRDefault="00226755">
      <w:pPr>
        <w:pStyle w:val="ConsPlusTitle"/>
        <w:jc w:val="center"/>
      </w:pPr>
      <w:r>
        <w:t>ОБЛАСТИ "О НАЛОГООБЛОЖЕНИИ В ПЕРМСКОМ КРАЕ"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</w:pPr>
      <w:proofErr w:type="gramStart"/>
      <w:r>
        <w:t>Принят</w:t>
      </w:r>
      <w:proofErr w:type="gramEnd"/>
    </w:p>
    <w:p w:rsidR="00226755" w:rsidRDefault="00226755">
      <w:pPr>
        <w:pStyle w:val="ConsPlusNormal"/>
        <w:jc w:val="right"/>
      </w:pPr>
      <w:r>
        <w:t>Законодательным Собранием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20 октября 2022 года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Title"/>
        <w:ind w:firstLine="540"/>
        <w:jc w:val="both"/>
        <w:outlineLvl w:val="1"/>
      </w:pPr>
      <w:r>
        <w:t>Статья 1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</w:t>
      </w:r>
      <w:proofErr w:type="gramEnd"/>
      <w:r>
        <w:t xml:space="preserve"> </w:t>
      </w:r>
      <w:proofErr w:type="gramStart"/>
      <w:r>
        <w:t>Пермского края, 06.04.2015, N 13; 16.11.2015, N 45; 16.10.2017, N 41; 11.11.2019, N 44; 06.04.2020, N 14; 27.04.2020, N 17; 30.11.2020, N 48; 01.03.2021, N 9; Официальный интернет-портал правовой информации (www.pravo.gov.ru), 07.04.2015; 09.11.2015; 13.10.2017; 07.11.2019; 31.03.2020; 23.04.2020; 27.11.2020; 25.02.2021) следующие изменения:</w:t>
      </w:r>
      <w:proofErr w:type="gramEnd"/>
    </w:p>
    <w:p w:rsidR="00226755" w:rsidRDefault="00226755">
      <w:pPr>
        <w:pStyle w:val="ConsPlusNormal"/>
        <w:spacing w:before="200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преамбуле</w:t>
        </w:r>
      </w:hyperlink>
      <w:r>
        <w:t xml:space="preserve"> слова "на 2020 год" исключить.</w:t>
      </w:r>
    </w:p>
    <w:p w:rsidR="00226755" w:rsidRDefault="00226755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Часть 5 статьи 1</w:t>
        </w:r>
      </w:hyperlink>
      <w:r>
        <w:t xml:space="preserve"> признать утратившей силу.</w:t>
      </w:r>
    </w:p>
    <w:p w:rsidR="00226755" w:rsidRDefault="00226755">
      <w:pPr>
        <w:pStyle w:val="ConsPlusNormal"/>
        <w:spacing w:before="20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Приложение 1</w:t>
        </w:r>
      </w:hyperlink>
      <w:r>
        <w:t xml:space="preserve"> изложить в редакции согласно </w:t>
      </w:r>
      <w:hyperlink w:anchor="P5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226755" w:rsidRDefault="00226755">
      <w:pPr>
        <w:pStyle w:val="ConsPlusNormal"/>
        <w:spacing w:before="200"/>
        <w:ind w:firstLine="540"/>
        <w:jc w:val="both"/>
      </w:pPr>
      <w:r>
        <w:t xml:space="preserve">4. </w:t>
      </w:r>
      <w:hyperlink r:id="rId10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615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Title"/>
        <w:ind w:firstLine="540"/>
        <w:jc w:val="both"/>
        <w:outlineLvl w:val="1"/>
      </w:pPr>
      <w:r>
        <w:t>Статья 2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ind w:firstLine="540"/>
        <w:jc w:val="both"/>
      </w:pPr>
      <w:r>
        <w:t>Настоящий Закон вступает в силу с 1 января 2023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</w:pPr>
      <w:r>
        <w:t>Губернатор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Д.Н.МАХОНИН</w:t>
      </w:r>
    </w:p>
    <w:p w:rsidR="00226755" w:rsidRDefault="00226755">
      <w:pPr>
        <w:pStyle w:val="ConsPlusNormal"/>
      </w:pPr>
      <w:r>
        <w:t>09.11.2022 N 128-ПК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  <w:outlineLvl w:val="0"/>
      </w:pPr>
      <w:r>
        <w:t>Приложение 1</w:t>
      </w:r>
    </w:p>
    <w:p w:rsidR="00226755" w:rsidRDefault="00226755">
      <w:pPr>
        <w:pStyle w:val="ConsPlusNormal"/>
        <w:jc w:val="right"/>
      </w:pPr>
      <w:r>
        <w:t>к Закону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от 09.11.2022 N 128-ПК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</w:pPr>
      <w:r>
        <w:lastRenderedPageBreak/>
        <w:t>"Приложение 1</w:t>
      </w:r>
    </w:p>
    <w:p w:rsidR="00226755" w:rsidRDefault="00226755">
      <w:pPr>
        <w:pStyle w:val="ConsPlusNormal"/>
        <w:jc w:val="right"/>
      </w:pPr>
      <w:r>
        <w:t>к Закону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от 01.04.2015 N 465-ПК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Title"/>
        <w:jc w:val="center"/>
      </w:pPr>
      <w:bookmarkStart w:id="0" w:name="P51"/>
      <w:bookmarkEnd w:id="0"/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226755" w:rsidRDefault="00226755">
      <w:pPr>
        <w:pStyle w:val="ConsPlusTitle"/>
        <w:jc w:val="center"/>
      </w:pPr>
      <w:r>
        <w:t>ИНДИВИДУАЛЬНЫМ ПРЕДПРИНИМАТЕЛЕМ ГОДОВОГО ДОХОДА ПО ВИДАМ</w:t>
      </w:r>
    </w:p>
    <w:p w:rsidR="00226755" w:rsidRDefault="00226755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226755" w:rsidRDefault="00226755">
      <w:pPr>
        <w:pStyle w:val="ConsPlusTitle"/>
        <w:jc w:val="center"/>
      </w:pPr>
      <w:r>
        <w:t>ПРИМЕНЯЕТСЯ ПАТЕНТНАЯ СИСТЕМА НАЛОГООБЛОЖЕНИЯ</w:t>
      </w:r>
    </w:p>
    <w:p w:rsidR="00226755" w:rsidRDefault="002267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2948"/>
        <w:gridCol w:w="2154"/>
      </w:tblGrid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Размеры потенциально возможного к получению индивидуальным предпринимателем годового дохода с учетом физического показателя, руб.</w:t>
            </w:r>
          </w:p>
        </w:tc>
      </w:tr>
      <w:tr w:rsidR="00226755">
        <w:tc>
          <w:tcPr>
            <w:tcW w:w="624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4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333330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236670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200000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</w:p>
        </w:tc>
        <w:tc>
          <w:tcPr>
            <w:tcW w:w="2154" w:type="dxa"/>
          </w:tcPr>
          <w:p w:rsidR="00226755" w:rsidRDefault="00226755">
            <w:pPr>
              <w:pStyle w:val="ConsPlusNormal"/>
            </w:pP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перевозка пассажиров автобусами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1000000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перевозка пассажиров легковыми таксомоторами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263330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</w:p>
        </w:tc>
        <w:tc>
          <w:tcPr>
            <w:tcW w:w="2154" w:type="dxa"/>
          </w:tcPr>
          <w:p w:rsidR="00226755" w:rsidRDefault="00226755">
            <w:pPr>
              <w:pStyle w:val="ConsPlusNormal"/>
            </w:pP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аренда жилых помещений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1330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аренда нежилых помещений (включая выставочные залы, складские помещения), земельных участков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7900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</w:t>
            </w:r>
            <w:r>
              <w:lastRenderedPageBreak/>
              <w:t>потребления, которые не являются пищевыми продуктами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133330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200000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Услуги экскурсионные </w:t>
            </w:r>
            <w:r>
              <w:lastRenderedPageBreak/>
              <w:t>туристические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объект торговой сети с площадью торгового зала не более 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833330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объекта торговой сети с площадью торгового зала свыше 50 кв. метров, но не более 150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16670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объект торговой сети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185000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</w:p>
        </w:tc>
        <w:tc>
          <w:tcPr>
            <w:tcW w:w="2154" w:type="dxa"/>
          </w:tcPr>
          <w:p w:rsidR="00226755" w:rsidRDefault="00226755">
            <w:pPr>
              <w:pStyle w:val="ConsPlusNormal"/>
            </w:pP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столовые в общеобразовательных учебных заведениях;</w:t>
            </w:r>
          </w:p>
          <w:p w:rsidR="00226755" w:rsidRDefault="00226755">
            <w:pPr>
              <w:pStyle w:val="ConsPlusNormal"/>
            </w:pPr>
            <w:r>
              <w:t xml:space="preserve">столовые в </w:t>
            </w:r>
            <w:proofErr w:type="spellStart"/>
            <w:r>
              <w:t>среднеспециальных</w:t>
            </w:r>
            <w:proofErr w:type="spellEnd"/>
            <w:r>
              <w:t xml:space="preserve"> и высших учебных заведениях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объект организации общественного питания с площадью зала обслуживания посетителей не более 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193330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объекта организации общественного питания с площадью зала обслуживания посетителей свыше 50 кв. метров, но не более 150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3870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рестораны, бары, кафе, закусочные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объект организации общественного питания с площадью зала обслуживания посетителей не более 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466670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объекта организации общественного питания с площадью зала обслуживания посетителей свыше 50 кв. метров, но не более 150 кв. метров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9330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Лесоводство и прочая </w:t>
            </w:r>
            <w:r>
              <w:lastRenderedPageBreak/>
              <w:t>лесохозяйственная деятельность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</w:tcPr>
          <w:p w:rsidR="00226755" w:rsidRDefault="0022675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345" w:type="dxa"/>
          </w:tcPr>
          <w:p w:rsidR="00226755" w:rsidRDefault="00226755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квадратный метр площади стоянки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1200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 xml:space="preserve">на 1 единицу </w:t>
            </w:r>
            <w:proofErr w:type="gramStart"/>
            <w:r>
              <w:t>средней</w:t>
            </w:r>
            <w:proofErr w:type="gramEnd"/>
          </w:p>
        </w:tc>
        <w:tc>
          <w:tcPr>
            <w:tcW w:w="2154" w:type="dxa"/>
            <w:vMerge/>
          </w:tcPr>
          <w:p w:rsidR="00226755" w:rsidRDefault="00226755">
            <w:pPr>
              <w:pStyle w:val="ConsPlusNormal"/>
            </w:pP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Изготовление и печатание визитных карточек и пригласительных билетов на </w:t>
            </w:r>
            <w:r>
              <w:lastRenderedPageBreak/>
              <w:t>семейные торжества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 xml:space="preserve">на 1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9071" w:type="dxa"/>
            <w:gridSpan w:val="4"/>
          </w:tcPr>
          <w:p w:rsidR="00226755" w:rsidRDefault="00226755">
            <w:pPr>
              <w:pStyle w:val="ConsPlusNormal"/>
              <w:jc w:val="center"/>
            </w:pPr>
            <w:r>
              <w:t>Дополнительные виды предпринимательской деятельности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proofErr w:type="gramStart"/>
            <w:r>
              <w:t>Производство деревянной тары: производство деревянных упаковочных ящиков, коробок, решетчатой тары, барабанов и аналогичной деревянной тары; производство деревянных поддонов, стеллажей и прочих деревянных приспособлений для хранения и перевозки грузов; производство деревянных бочек, чанов, кадок и прочих бондарных изделий; изготовление и ремонт бондарной посуды по индивидуальному заказу населения; производство деревянных барабанов для намотки кабелей</w:t>
            </w:r>
            <w:proofErr w:type="gramEnd"/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proofErr w:type="gramStart"/>
            <w:r>
              <w:t>Работы по возведению жилых зданий: работы по строительству новых объектов, возведению пристроек, реконструкции и ремонту зданий; ремонт домов, квартир по заказам населения; переборка бревенчатых и брусчатых срубов; ремонт подвальных помещений, погребов; ремонт садовых (дачных) домиков; ремонт хозяйственных построек (сараев, навесов, летних кухонь и др.); строительство индивидуальных домов; строительство хозяйственных построек;</w:t>
            </w:r>
            <w:proofErr w:type="gramEnd"/>
            <w:r>
              <w:t xml:space="preserve"> </w:t>
            </w:r>
            <w:r>
              <w:lastRenderedPageBreak/>
              <w:t>изготовление и сборка бревенчатых и брусчатых срубов; сборка щитовых домов заводского изготовления; строительство садовых домиков; пристройка к домам дополнительных помещений (веранд, туалетов и др.); строительство индивидуальных бань и душевых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Заточка пил, чертежных и других инструментов, ножей, ножниц, бритв, коньков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  <w:tr w:rsidR="00226755">
        <w:tc>
          <w:tcPr>
            <w:tcW w:w="624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345" w:type="dxa"/>
            <w:vMerge w:val="restart"/>
          </w:tcPr>
          <w:p w:rsidR="00226755" w:rsidRDefault="00226755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225000</w:t>
            </w:r>
          </w:p>
        </w:tc>
      </w:tr>
      <w:tr w:rsidR="00226755">
        <w:tc>
          <w:tcPr>
            <w:tcW w:w="624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3345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2948" w:type="dxa"/>
          </w:tcPr>
          <w:p w:rsidR="00226755" w:rsidRDefault="00226755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226755" w:rsidRDefault="00226755">
            <w:pPr>
              <w:pStyle w:val="ConsPlusNormal"/>
              <w:jc w:val="center"/>
            </w:pPr>
            <w:r>
              <w:t>36670</w:t>
            </w:r>
          </w:p>
        </w:tc>
      </w:tr>
    </w:tbl>
    <w:p w:rsidR="00226755" w:rsidRDefault="00226755">
      <w:pPr>
        <w:pStyle w:val="ConsPlusNormal"/>
        <w:jc w:val="right"/>
      </w:pPr>
      <w:r>
        <w:t>"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  <w:outlineLvl w:val="0"/>
      </w:pPr>
      <w:r>
        <w:t>Приложение 2</w:t>
      </w:r>
    </w:p>
    <w:p w:rsidR="00226755" w:rsidRDefault="00226755">
      <w:pPr>
        <w:pStyle w:val="ConsPlusNormal"/>
        <w:jc w:val="right"/>
      </w:pPr>
      <w:r>
        <w:t>к Закону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от 09.11.2022 N 128-ПК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right"/>
      </w:pPr>
      <w:r>
        <w:t>"Приложение 2</w:t>
      </w:r>
    </w:p>
    <w:p w:rsidR="00226755" w:rsidRDefault="00226755">
      <w:pPr>
        <w:pStyle w:val="ConsPlusNormal"/>
        <w:jc w:val="right"/>
      </w:pPr>
      <w:r>
        <w:t>к Закону</w:t>
      </w:r>
    </w:p>
    <w:p w:rsidR="00226755" w:rsidRDefault="00226755">
      <w:pPr>
        <w:pStyle w:val="ConsPlusNormal"/>
        <w:jc w:val="right"/>
      </w:pPr>
      <w:r>
        <w:t>Пермского края</w:t>
      </w:r>
    </w:p>
    <w:p w:rsidR="00226755" w:rsidRDefault="00226755">
      <w:pPr>
        <w:pStyle w:val="ConsPlusNormal"/>
        <w:jc w:val="right"/>
      </w:pPr>
      <w:r>
        <w:t>от 01.04.2015 N 465-ПК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Title"/>
        <w:jc w:val="center"/>
      </w:pPr>
      <w:bookmarkStart w:id="1" w:name="P615"/>
      <w:bookmarkEnd w:id="1"/>
      <w:r>
        <w:t>ДИФФЕРЕНЦИАЦИЯ ТЕРРИТОРИЙ ДЕЙСТВИЯ ПАТЕНТОВ</w:t>
      </w:r>
    </w:p>
    <w:p w:rsidR="00226755" w:rsidRDefault="00226755">
      <w:pPr>
        <w:pStyle w:val="ConsPlusTitle"/>
        <w:jc w:val="center"/>
      </w:pPr>
      <w:r>
        <w:t>ПО ГРУППАМ МУНИЦИПАЛЬНЫХ ОБРАЗОВАНИЙ ПЕРМСКОГО КРАЯ</w:t>
      </w:r>
    </w:p>
    <w:p w:rsidR="00226755" w:rsidRDefault="002267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28"/>
        <w:gridCol w:w="5783"/>
      </w:tblGrid>
      <w:tr w:rsidR="00226755">
        <w:tc>
          <w:tcPr>
            <w:tcW w:w="1361" w:type="dxa"/>
          </w:tcPr>
          <w:p w:rsidR="00226755" w:rsidRDefault="00226755">
            <w:pPr>
              <w:pStyle w:val="ConsPlusNormal"/>
              <w:jc w:val="center"/>
            </w:pPr>
            <w:r>
              <w:t>Группа территорий</w:t>
            </w:r>
          </w:p>
        </w:tc>
        <w:tc>
          <w:tcPr>
            <w:tcW w:w="1928" w:type="dxa"/>
          </w:tcPr>
          <w:p w:rsidR="00226755" w:rsidRDefault="00226755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  <w:tc>
          <w:tcPr>
            <w:tcW w:w="5783" w:type="dxa"/>
          </w:tcPr>
          <w:p w:rsidR="00226755" w:rsidRDefault="00226755">
            <w:pPr>
              <w:pStyle w:val="ConsPlusNormal"/>
              <w:jc w:val="center"/>
            </w:pPr>
            <w:r>
              <w:t>Муниципальные образования Пермского края, входящие в соответствующую группу территорий</w:t>
            </w:r>
          </w:p>
        </w:tc>
      </w:tr>
      <w:tr w:rsidR="00226755">
        <w:tc>
          <w:tcPr>
            <w:tcW w:w="1361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  <w:vAlign w:val="center"/>
          </w:tcPr>
          <w:p w:rsidR="00226755" w:rsidRDefault="00226755">
            <w:pPr>
              <w:pStyle w:val="ConsPlusNormal"/>
              <w:jc w:val="center"/>
            </w:pPr>
            <w:r>
              <w:t>3</w:t>
            </w:r>
          </w:p>
        </w:tc>
      </w:tr>
      <w:tr w:rsidR="00226755">
        <w:tc>
          <w:tcPr>
            <w:tcW w:w="1361" w:type="dxa"/>
          </w:tcPr>
          <w:p w:rsidR="00226755" w:rsidRDefault="00226755">
            <w:pPr>
              <w:pStyle w:val="ConsPlusNormal"/>
            </w:pPr>
            <w:r>
              <w:t>Первая группа</w:t>
            </w:r>
          </w:p>
        </w:tc>
        <w:tc>
          <w:tcPr>
            <w:tcW w:w="1928" w:type="dxa"/>
          </w:tcPr>
          <w:p w:rsidR="00226755" w:rsidRDefault="0022675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Пермский городской округ</w:t>
            </w:r>
          </w:p>
        </w:tc>
      </w:tr>
      <w:tr w:rsidR="00226755">
        <w:tc>
          <w:tcPr>
            <w:tcW w:w="1361" w:type="dxa"/>
            <w:vMerge w:val="restart"/>
          </w:tcPr>
          <w:p w:rsidR="00226755" w:rsidRDefault="00226755">
            <w:pPr>
              <w:pStyle w:val="ConsPlusNormal"/>
            </w:pPr>
            <w:r>
              <w:t>Вторая группа</w:t>
            </w:r>
          </w:p>
        </w:tc>
        <w:tc>
          <w:tcPr>
            <w:tcW w:w="1928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Муниципальное образование "Город Березники"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Добрянский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Пермский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Соликамский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Чайковский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Губахинский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Краснокамский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 w:val="restart"/>
          </w:tcPr>
          <w:p w:rsidR="00226755" w:rsidRDefault="00226755">
            <w:pPr>
              <w:pStyle w:val="ConsPlusNormal"/>
            </w:pPr>
            <w:r>
              <w:t>Третья группа</w:t>
            </w:r>
          </w:p>
        </w:tc>
        <w:tc>
          <w:tcPr>
            <w:tcW w:w="1928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Лысьвенский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Горнозаводский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Осинский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Чернушинский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Нытвенский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Очерский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 xml:space="preserve">Городской округ "Город </w:t>
            </w:r>
            <w:proofErr w:type="spellStart"/>
            <w:r>
              <w:t>Кизел</w:t>
            </w:r>
            <w:proofErr w:type="spellEnd"/>
            <w:r>
              <w:t>"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Еловский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Чусовской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Кунгурский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Кудымкарский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Александровский муниципальный округ Пермского края</w:t>
            </w:r>
          </w:p>
        </w:tc>
      </w:tr>
      <w:tr w:rsidR="00226755">
        <w:tc>
          <w:tcPr>
            <w:tcW w:w="1361" w:type="dxa"/>
            <w:vMerge w:val="restart"/>
          </w:tcPr>
          <w:p w:rsidR="00226755" w:rsidRDefault="00226755">
            <w:pPr>
              <w:pStyle w:val="ConsPlusNormal"/>
            </w:pPr>
            <w:r>
              <w:t>Четвертая группа</w:t>
            </w:r>
          </w:p>
        </w:tc>
        <w:tc>
          <w:tcPr>
            <w:tcW w:w="1928" w:type="dxa"/>
            <w:vMerge w:val="restart"/>
          </w:tcPr>
          <w:p w:rsidR="00226755" w:rsidRDefault="0022675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Красновишерский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Частинский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Октябрьский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Суксунский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Верещагинский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Березовский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Большесосновский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Муниципальное образование Карагайский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Ординский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Куединский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Косинский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Оханский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Кочевский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Сивинский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Уинский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Гайнский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Бардымский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Юрлинский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Ильинский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Кишертский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Чердынский городской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proofErr w:type="spellStart"/>
            <w:r>
              <w:t>Юсьвинский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226755">
        <w:tc>
          <w:tcPr>
            <w:tcW w:w="1361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1928" w:type="dxa"/>
            <w:vMerge/>
          </w:tcPr>
          <w:p w:rsidR="00226755" w:rsidRDefault="00226755">
            <w:pPr>
              <w:pStyle w:val="ConsPlusNormal"/>
            </w:pPr>
          </w:p>
        </w:tc>
        <w:tc>
          <w:tcPr>
            <w:tcW w:w="5783" w:type="dxa"/>
          </w:tcPr>
          <w:p w:rsidR="00226755" w:rsidRDefault="00226755">
            <w:pPr>
              <w:pStyle w:val="ConsPlusNormal"/>
            </w:pPr>
            <w:r>
              <w:t>Городской округ закрытое административно-территориальное образование Звёздный Пермского края</w:t>
            </w:r>
          </w:p>
        </w:tc>
      </w:tr>
    </w:tbl>
    <w:p w:rsidR="00226755" w:rsidRDefault="00226755">
      <w:pPr>
        <w:pStyle w:val="ConsPlusNormal"/>
        <w:spacing w:before="200"/>
        <w:jc w:val="right"/>
      </w:pPr>
      <w:r>
        <w:t>"</w:t>
      </w: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jc w:val="both"/>
      </w:pPr>
    </w:p>
    <w:p w:rsidR="00226755" w:rsidRDefault="002267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896" w:rsidRDefault="00FE1896">
      <w:bookmarkStart w:id="2" w:name="_GoBack"/>
      <w:bookmarkEnd w:id="2"/>
    </w:p>
    <w:sectPr w:rsidR="00FE1896" w:rsidSect="003A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55"/>
    <w:rsid w:val="00226755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26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6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6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26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6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67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0CBFECDCC7C6F42241189BE8F54238C749F5D914358572F45B02C5DBEA401DC4C02477C475C75D732EEE97D2E50B1568D97A139E5C30A3B2W1b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F0CBFECDCC7C6F42241189BE8F54238C749F5D914358572F45B02C5DBEA401DC4C02477C475C154772DEE97D2E50B1568D97A139E5C30A3B2W1bB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F0CBFECDCC7C6F42241189BE8F54238C749F5D914358572F45B02C5DBEA401DC4C02465C42DCF5E7330E5C29DA35E1AW6b9H" TargetMode="External"/><Relationship Id="rId11" Type="http://schemas.openxmlformats.org/officeDocument/2006/relationships/hyperlink" Target="consultantplus://offline/ref=1F6F0CBFECDCC7C6F4225F158D84A84934CE15F8DA123ED32FA85D559A8BEC154F849E7D368066C25D6D2CE5C1W8b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6F0CBFECDCC7C6F42241189BE8F54238C749F5D914358572F45B02C5DBEA401DC4C02477C475C75A702DEE97D2E50B1568D97A139E5C30A3B2W1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F0CBFECDCC7C6F42241189BE8F54238C749F5D914358572F45B02C5DBEA401DC4C02477C475C75D732FEE97D2E50B1568D97A139E5C30A3B2W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2023-01-20T07:27:00Z</dcterms:created>
  <dcterms:modified xsi:type="dcterms:W3CDTF">2023-01-20T07:30:00Z</dcterms:modified>
</cp:coreProperties>
</file>