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B4" w:rsidRDefault="00D709B4">
      <w:pPr>
        <w:pStyle w:val="ConsPlusTitle"/>
        <w:jc w:val="center"/>
        <w:outlineLvl w:val="0"/>
      </w:pPr>
      <w:bookmarkStart w:id="0" w:name="_GoBack"/>
      <w:bookmarkEnd w:id="0"/>
      <w:r>
        <w:t>ЗЕМСКОЕ СОБРАНИЕ КИШЕРТСКОГО РАЙОНА</w:t>
      </w:r>
    </w:p>
    <w:p w:rsidR="00D709B4" w:rsidRDefault="00D709B4">
      <w:pPr>
        <w:pStyle w:val="ConsPlusTitle"/>
        <w:jc w:val="center"/>
      </w:pPr>
    </w:p>
    <w:p w:rsidR="00D709B4" w:rsidRDefault="00D709B4">
      <w:pPr>
        <w:pStyle w:val="ConsPlusTitle"/>
        <w:jc w:val="center"/>
      </w:pPr>
      <w:r>
        <w:t>РЕШЕНИЕ</w:t>
      </w:r>
    </w:p>
    <w:p w:rsidR="00D709B4" w:rsidRDefault="00D709B4">
      <w:pPr>
        <w:pStyle w:val="ConsPlusTitle"/>
        <w:jc w:val="center"/>
      </w:pPr>
      <w:r>
        <w:t>от 6 октября 2005 г. N 327</w:t>
      </w:r>
    </w:p>
    <w:p w:rsidR="00D709B4" w:rsidRDefault="00D709B4">
      <w:pPr>
        <w:pStyle w:val="ConsPlusTitle"/>
        <w:jc w:val="center"/>
      </w:pPr>
    </w:p>
    <w:p w:rsidR="00D709B4" w:rsidRDefault="00D709B4">
      <w:pPr>
        <w:pStyle w:val="ConsPlusTitle"/>
        <w:jc w:val="center"/>
      </w:pPr>
      <w:r>
        <w:t>О ВВЕДЕНИИ В ДЕЙСТВИЕ СИСТЕМЫ НАЛОГООБЛОЖЕНИЯ В ВИДЕ</w:t>
      </w:r>
    </w:p>
    <w:p w:rsidR="00D709B4" w:rsidRDefault="00D709B4">
      <w:pPr>
        <w:pStyle w:val="ConsPlusTitle"/>
        <w:jc w:val="center"/>
      </w:pPr>
      <w:r>
        <w:t>ЕДИНОГО НАЛОГА НА ВМЕНЕННЫЙ ДОХОД НА ТЕРРИТОРИИ КИШЕРТСКОГО</w:t>
      </w:r>
    </w:p>
    <w:p w:rsidR="00D709B4" w:rsidRDefault="00D709B4">
      <w:pPr>
        <w:pStyle w:val="ConsPlusTitle"/>
        <w:jc w:val="center"/>
      </w:pPr>
      <w:r>
        <w:t>МУНИЦИПАЛЬНОГО РАЙОНА</w:t>
      </w:r>
    </w:p>
    <w:p w:rsidR="00D709B4" w:rsidRDefault="00D709B4">
      <w:pPr>
        <w:spacing w:after="1"/>
      </w:pPr>
    </w:p>
    <w:p w:rsidR="00D709B4" w:rsidRPr="001154C8" w:rsidRDefault="00D709B4">
      <w:pPr>
        <w:pStyle w:val="ConsPlusNormal"/>
        <w:jc w:val="center"/>
      </w:pPr>
    </w:p>
    <w:p w:rsidR="001154C8" w:rsidRDefault="001154C8" w:rsidP="001154C8">
      <w:pPr>
        <w:pStyle w:val="ConsPlusNormal"/>
        <w:jc w:val="center"/>
      </w:pPr>
      <w:proofErr w:type="gramStart"/>
      <w:r>
        <w:t xml:space="preserve">(в ред. решения Земского Собрания </w:t>
      </w:r>
      <w:proofErr w:type="spellStart"/>
      <w:r>
        <w:t>Кишертского</w:t>
      </w:r>
      <w:proofErr w:type="spellEnd"/>
      <w:r>
        <w:t xml:space="preserve"> района от 25.11.2005 N 338,</w:t>
      </w:r>
      <w:proofErr w:type="gramEnd"/>
    </w:p>
    <w:p w:rsidR="001154C8" w:rsidRDefault="001154C8" w:rsidP="001154C8">
      <w:pPr>
        <w:pStyle w:val="ConsPlusNormal"/>
        <w:jc w:val="center"/>
      </w:pPr>
      <w:r>
        <w:t xml:space="preserve">решений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</w:t>
      </w:r>
    </w:p>
    <w:p w:rsidR="001154C8" w:rsidRDefault="001154C8" w:rsidP="001154C8">
      <w:pPr>
        <w:pStyle w:val="ConsPlusNormal"/>
        <w:jc w:val="center"/>
      </w:pPr>
      <w:r>
        <w:t>от 28.03.2006 N 14, от 25.04.2006 N 23, от 31.10.2007 N 252,</w:t>
      </w:r>
    </w:p>
    <w:p w:rsidR="001154C8" w:rsidRDefault="001154C8" w:rsidP="001154C8">
      <w:pPr>
        <w:pStyle w:val="ConsPlusNormal"/>
        <w:jc w:val="center"/>
      </w:pPr>
      <w:r>
        <w:t>от 28.11.2008 N 362, от 25.11.2009 N 481, от 29.09.2011 N 58,</w:t>
      </w:r>
    </w:p>
    <w:p w:rsidR="001154C8" w:rsidRDefault="001154C8" w:rsidP="001154C8">
      <w:pPr>
        <w:pStyle w:val="ConsPlusNormal"/>
        <w:jc w:val="center"/>
      </w:pPr>
      <w:r>
        <w:t>от 28.11.2012 N 206, от 31.10.2013 N 303, от 29.05.2014 N 377,</w:t>
      </w:r>
    </w:p>
    <w:p w:rsidR="001154C8" w:rsidRDefault="001154C8" w:rsidP="001154C8">
      <w:pPr>
        <w:pStyle w:val="ConsPlusNormal"/>
        <w:jc w:val="center"/>
        <w:rPr>
          <w:lang w:val="en-US"/>
        </w:rPr>
      </w:pPr>
      <w:r>
        <w:t>от 25.12.2014 N 451, от 24.11.2016 N 32)</w:t>
      </w:r>
    </w:p>
    <w:p w:rsidR="001154C8" w:rsidRPr="001154C8" w:rsidRDefault="001154C8" w:rsidP="001154C8">
      <w:pPr>
        <w:pStyle w:val="ConsPlusNormal"/>
        <w:jc w:val="center"/>
        <w:rPr>
          <w:lang w:val="en-US"/>
        </w:rPr>
      </w:pP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В соответствии с Налоговым кодексом Российской Федерации и Федеральным законом от 29.07.2004 N 95-ФЗ "О внесении изменений в части первую и вторую Налогового кодекса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законодательных актов (положений законодательных актов) Российской Федерации о налогах и сборах" Земское Собрание </w:t>
      </w:r>
      <w:proofErr w:type="spellStart"/>
      <w:r>
        <w:t>Кишертского</w:t>
      </w:r>
      <w:proofErr w:type="spellEnd"/>
      <w:r>
        <w:t xml:space="preserve"> района решило: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1. Ввести на территории </w:t>
      </w:r>
      <w:proofErr w:type="spellStart"/>
      <w:r>
        <w:t>Кишертского</w:t>
      </w:r>
      <w:proofErr w:type="spellEnd"/>
      <w:r>
        <w:t xml:space="preserve"> муниципального района систему налогообложения в виде единого налога на вмененный доход для отдельных видов деятельности с 1 января 2006 года.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2. Установить, что система налогообложения в виде единого налога на вмененный доход для отдельных видов деятельности применяется в соответствии с Налоговым кодексом Российской Федерации и настоящим решением.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3. Установить, что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-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метров. </w:t>
      </w:r>
      <w:proofErr w:type="gramStart"/>
      <w: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(в ред. решений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28.03.2006 N 14, от 31.10.2007 N 252)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(абзац введен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28.03.2006 N 14;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>
        <w:lastRenderedPageBreak/>
        <w:t>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(в ред. решений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28.03.2006 N 14, от 31.10.2007 N 252, от 28.11.2008 N 362)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(абзац введен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28.03.2006 N 14)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24.11.2016 N 32)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(абзац введен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25.04.2006 N 23)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оказания услуг по ремонту, техническому обслуживанию и мойке автомототранспортных средств;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(абзац введен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31.10.2007 N 252;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28.11.2012 N 206)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(в ред. решений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362, от 28.11.2012 N 206)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(абзац введен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31.10.2007 N 252;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распространения наружной рекламы с использованием рекламных конструкций;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lastRenderedPageBreak/>
        <w:t xml:space="preserve">(в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- размещения рекламы с использованием внешних и внутренних поверхностей транспортных средств;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28.11.2012 N 206)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- оказания услуг по передаче во временное владение </w:t>
      </w:r>
      <w:proofErr w:type="gramStart"/>
      <w:r>
        <w:t>и(</w:t>
      </w:r>
      <w:proofErr w:type="gramEnd"/>
      <w:r>
        <w:t>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(абзац введен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- оказания услуг по передаче во временное владение </w:t>
      </w:r>
      <w:proofErr w:type="gramStart"/>
      <w:r>
        <w:t>и(</w:t>
      </w:r>
      <w:proofErr w:type="gramEnd"/>
      <w:r>
        <w:t>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 xml:space="preserve">(абзац введен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362)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4. Утвердить прилагаемые значения корректирующих коэффициентов базовой доходности К</w:t>
      </w:r>
      <w:proofErr w:type="gramStart"/>
      <w:r>
        <w:t>2</w:t>
      </w:r>
      <w:proofErr w:type="gramEnd"/>
      <w:r>
        <w:t>.</w:t>
      </w:r>
    </w:p>
    <w:p w:rsidR="001154C8" w:rsidRDefault="001154C8" w:rsidP="001154C8">
      <w:pPr>
        <w:pStyle w:val="ConsPlusNormal"/>
        <w:spacing w:before="220"/>
        <w:ind w:firstLine="540"/>
        <w:jc w:val="both"/>
      </w:pPr>
      <w:r>
        <w:t>5. Решение опубликовать в газете "</w:t>
      </w:r>
      <w:proofErr w:type="spellStart"/>
      <w:r>
        <w:t>Сылвенские</w:t>
      </w:r>
      <w:proofErr w:type="spellEnd"/>
      <w:r>
        <w:t xml:space="preserve"> зори".</w:t>
      </w:r>
    </w:p>
    <w:p w:rsidR="00D709B4" w:rsidRDefault="001154C8" w:rsidP="001154C8">
      <w:pPr>
        <w:pStyle w:val="ConsPlusNormal"/>
        <w:spacing w:before="220"/>
        <w:ind w:firstLine="540"/>
        <w:jc w:val="both"/>
      </w:pPr>
      <w:r>
        <w:t>6. Контроль исполнения решения возложить на управление финансов и налоговой политики администрации района.</w:t>
      </w:r>
    </w:p>
    <w:p w:rsidR="00D709B4" w:rsidRDefault="00D709B4">
      <w:pPr>
        <w:pStyle w:val="ConsPlusNormal"/>
        <w:ind w:firstLine="540"/>
        <w:jc w:val="both"/>
      </w:pPr>
    </w:p>
    <w:p w:rsidR="001154C8" w:rsidRPr="001154C8" w:rsidRDefault="00D709B4">
      <w:pPr>
        <w:pStyle w:val="ConsPlusNormal"/>
        <w:jc w:val="right"/>
        <w:rPr>
          <w:i/>
        </w:rPr>
      </w:pPr>
      <w:r w:rsidRPr="001154C8">
        <w:rPr>
          <w:i/>
        </w:rPr>
        <w:t xml:space="preserve">Глава </w:t>
      </w:r>
    </w:p>
    <w:p w:rsidR="00D709B4" w:rsidRPr="001154C8" w:rsidRDefault="00D709B4">
      <w:pPr>
        <w:pStyle w:val="ConsPlusNormal"/>
        <w:jc w:val="right"/>
        <w:rPr>
          <w:i/>
        </w:rPr>
      </w:pPr>
      <w:r w:rsidRPr="001154C8">
        <w:rPr>
          <w:i/>
        </w:rPr>
        <w:t>самоуправления района</w:t>
      </w:r>
    </w:p>
    <w:p w:rsidR="00D709B4" w:rsidRDefault="00D709B4">
      <w:pPr>
        <w:pStyle w:val="ConsPlusNormal"/>
        <w:jc w:val="right"/>
      </w:pPr>
      <w:r w:rsidRPr="001154C8">
        <w:rPr>
          <w:i/>
        </w:rPr>
        <w:t>В.В.</w:t>
      </w:r>
      <w:r w:rsidR="001154C8" w:rsidRPr="001154C8">
        <w:rPr>
          <w:i/>
        </w:rPr>
        <w:t xml:space="preserve"> </w:t>
      </w:r>
      <w:r w:rsidRPr="001154C8">
        <w:rPr>
          <w:i/>
        </w:rPr>
        <w:t>К</w:t>
      </w:r>
      <w:r w:rsidR="001154C8" w:rsidRPr="001154C8">
        <w:rPr>
          <w:i/>
        </w:rPr>
        <w:t>ондаков</w:t>
      </w:r>
    </w:p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Normal"/>
        <w:jc w:val="right"/>
        <w:outlineLvl w:val="0"/>
      </w:pPr>
      <w:r>
        <w:t>Утверждены</w:t>
      </w:r>
    </w:p>
    <w:p w:rsidR="00D709B4" w:rsidRDefault="00D709B4">
      <w:pPr>
        <w:pStyle w:val="ConsPlusNormal"/>
        <w:jc w:val="right"/>
      </w:pPr>
      <w:r>
        <w:t>решением</w:t>
      </w:r>
    </w:p>
    <w:p w:rsidR="00D709B4" w:rsidRDefault="00D709B4">
      <w:pPr>
        <w:pStyle w:val="ConsPlusNormal"/>
        <w:jc w:val="right"/>
      </w:pPr>
      <w:r>
        <w:t>Земского Собрания</w:t>
      </w:r>
    </w:p>
    <w:p w:rsidR="00D709B4" w:rsidRDefault="00D709B4">
      <w:pPr>
        <w:pStyle w:val="ConsPlusNormal"/>
        <w:jc w:val="right"/>
      </w:pPr>
      <w:r>
        <w:t>от 06.10.2005 N 327</w:t>
      </w:r>
    </w:p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Title"/>
        <w:jc w:val="center"/>
      </w:pPr>
      <w:bookmarkStart w:id="1" w:name="P64"/>
      <w:bookmarkEnd w:id="1"/>
      <w:r>
        <w:t>ЗНАЧЕНИЯ</w:t>
      </w:r>
    </w:p>
    <w:p w:rsidR="00D709B4" w:rsidRDefault="00D709B4">
      <w:pPr>
        <w:pStyle w:val="ConsPlusTitle"/>
        <w:jc w:val="center"/>
      </w:pPr>
      <w:r>
        <w:t>КОРРЕКТИРУЮЩИХ КОЭФФИЦИЕНТОВ БАЗОВОЙ ДОХОДНОСТИ К</w:t>
      </w:r>
      <w:proofErr w:type="gramStart"/>
      <w:r>
        <w:t>2</w:t>
      </w:r>
      <w:proofErr w:type="gramEnd"/>
    </w:p>
    <w:p w:rsidR="00D709B4" w:rsidRDefault="00D709B4">
      <w:pPr>
        <w:spacing w:after="1"/>
      </w:pPr>
    </w:p>
    <w:p w:rsidR="001154C8" w:rsidRDefault="001154C8" w:rsidP="001154C8">
      <w:pPr>
        <w:pStyle w:val="ConsPlusNormal"/>
        <w:jc w:val="center"/>
      </w:pPr>
      <w:proofErr w:type="gramStart"/>
      <w:r>
        <w:t xml:space="preserve">(в ред. решения Земского Собрания </w:t>
      </w:r>
      <w:proofErr w:type="spellStart"/>
      <w:r>
        <w:t>Кишертского</w:t>
      </w:r>
      <w:proofErr w:type="spellEnd"/>
      <w:r>
        <w:t xml:space="preserve"> района от 25.11.2005 N 338,</w:t>
      </w:r>
      <w:proofErr w:type="gramEnd"/>
    </w:p>
    <w:p w:rsidR="001154C8" w:rsidRDefault="001154C8" w:rsidP="001154C8">
      <w:pPr>
        <w:pStyle w:val="ConsPlusNormal"/>
        <w:jc w:val="center"/>
      </w:pPr>
      <w:r>
        <w:t xml:space="preserve">решений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</w:t>
      </w:r>
    </w:p>
    <w:p w:rsidR="001154C8" w:rsidRDefault="001154C8" w:rsidP="001154C8">
      <w:pPr>
        <w:pStyle w:val="ConsPlusNormal"/>
        <w:jc w:val="center"/>
      </w:pPr>
      <w:r>
        <w:t>от 28.03.2006 N 14, от 25.04.2006 N 23, от 31.10.2007 N 252,</w:t>
      </w:r>
    </w:p>
    <w:p w:rsidR="001154C8" w:rsidRDefault="001154C8" w:rsidP="001154C8">
      <w:pPr>
        <w:pStyle w:val="ConsPlusNormal"/>
        <w:jc w:val="center"/>
      </w:pPr>
      <w:r>
        <w:t>от 28.11.2008 N 362, от 25.11.2009 N 481, от 29.09.2011 N 58,</w:t>
      </w:r>
    </w:p>
    <w:p w:rsidR="001154C8" w:rsidRDefault="001154C8" w:rsidP="001154C8">
      <w:pPr>
        <w:pStyle w:val="ConsPlusNormal"/>
        <w:jc w:val="center"/>
      </w:pPr>
      <w:r>
        <w:t>от 28.11.2012 N 206, от 31.10.2013 N 303, от 29.05.2014 N 377,</w:t>
      </w:r>
    </w:p>
    <w:p w:rsidR="001154C8" w:rsidRPr="001154C8" w:rsidRDefault="001154C8" w:rsidP="001154C8">
      <w:pPr>
        <w:pStyle w:val="ConsPlusNormal"/>
        <w:jc w:val="center"/>
      </w:pPr>
      <w:r>
        <w:t>от 25.12.2014 N 451, от 24.11.2016 N 32)</w:t>
      </w:r>
    </w:p>
    <w:p w:rsidR="00D709B4" w:rsidRDefault="00D709B4">
      <w:pPr>
        <w:pStyle w:val="ConsPlusNormal"/>
        <w:jc w:val="center"/>
      </w:pPr>
    </w:p>
    <w:p w:rsidR="00D709B4" w:rsidRDefault="00D709B4">
      <w:pPr>
        <w:pStyle w:val="ConsPlusNormal"/>
        <w:ind w:firstLine="540"/>
        <w:jc w:val="both"/>
      </w:pPr>
      <w:r>
        <w:lastRenderedPageBreak/>
        <w:t>1.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метров:</w:t>
      </w:r>
    </w:p>
    <w:p w:rsidR="00D709B4" w:rsidRDefault="00D709B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145"/>
      </w:tblGrid>
      <w:tr w:rsidR="00D709B4"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1. Мебель, изделия из натурального меха, натуральной кожи, сложная бытовая техника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  <w:vAlign w:val="bottom"/>
          </w:tcPr>
          <w:p w:rsidR="00D709B4" w:rsidRPr="001154C8" w:rsidRDefault="00D709B4">
            <w:pPr>
              <w:pStyle w:val="ConsPlusNormal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до 30 кв. м включительно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0,3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свыше 30 кв. м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0,28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8891" w:type="dxa"/>
            <w:gridSpan w:val="2"/>
            <w:tcBorders>
              <w:top w:val="nil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района от 25.11.2005 N 338)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2. Алкогольная продукция, пиво, табачные изделия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D709B4" w:rsidRPr="001154C8" w:rsidRDefault="00D709B4">
            <w:pPr>
              <w:pStyle w:val="ConsPlusNormal"/>
              <w:jc w:val="both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до 30 кв. м включительно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0,26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свыше 30 кв. м (с. У.-</w:t>
            </w:r>
            <w:proofErr w:type="spellStart"/>
            <w:r w:rsidRPr="001154C8">
              <w:t>Кишерть</w:t>
            </w:r>
            <w:proofErr w:type="spellEnd"/>
            <w:r w:rsidRPr="001154C8">
              <w:t>)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0,38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свыше 30 кв. м (</w:t>
            </w:r>
            <w:proofErr w:type="gramStart"/>
            <w:r w:rsidRPr="001154C8">
              <w:t>кроме</w:t>
            </w:r>
            <w:proofErr w:type="gramEnd"/>
            <w:r w:rsidRPr="001154C8">
              <w:t xml:space="preserve"> с. У.-</w:t>
            </w:r>
            <w:proofErr w:type="spellStart"/>
            <w:r w:rsidRPr="001154C8">
              <w:t>Кишерть</w:t>
            </w:r>
            <w:proofErr w:type="spellEnd"/>
            <w:r w:rsidRPr="001154C8">
              <w:t>)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0,3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8891" w:type="dxa"/>
            <w:gridSpan w:val="2"/>
            <w:tcBorders>
              <w:top w:val="nil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(п. 2 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муниципального района от 31.10.2013 N 303)</w:t>
            </w:r>
          </w:p>
        </w:tc>
      </w:tr>
      <w:tr w:rsidR="00D709B4"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</w:pPr>
            <w:bookmarkStart w:id="2" w:name="P94"/>
            <w:bookmarkEnd w:id="2"/>
            <w:r w:rsidRPr="001154C8">
              <w:t xml:space="preserve">3. </w:t>
            </w:r>
            <w:proofErr w:type="gramStart"/>
            <w:r w:rsidRPr="001154C8">
              <w:t>Продовольственные товары, изделия народных художественных промыслов, предметы культа и религиозного назначения (кроме изделий из драгоценных металлов и драгоценных камней), 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30% от общего товарооборота)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09B4" w:rsidRPr="001154C8" w:rsidRDefault="00D709B4">
            <w:pPr>
              <w:pStyle w:val="ConsPlusNormal"/>
            </w:pPr>
          </w:p>
        </w:tc>
      </w:tr>
      <w:tr w:rsidR="00D709B4"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до 30 кв. м включительно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0,15</w:t>
            </w:r>
          </w:p>
        </w:tc>
      </w:tr>
      <w:tr w:rsidR="00D709B4"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свыше 30 кв. м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0,14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4. Товары, перечисленные в пункте 3 настоящей таблицы, а также иные товары (при условии, что доходы от реализации иных товаров составляют не более 30% от общего товарооборота)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  <w:vAlign w:val="bottom"/>
          </w:tcPr>
          <w:p w:rsidR="00D709B4" w:rsidRPr="001154C8" w:rsidRDefault="00D709B4">
            <w:pPr>
              <w:pStyle w:val="ConsPlusNormal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до 30 кв. м включительно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0,17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свыше 30 кв. м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0,16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5. Лекарственные средства, изделия медицинского назначения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  <w:vAlign w:val="bottom"/>
          </w:tcPr>
          <w:p w:rsidR="00D709B4" w:rsidRPr="001154C8" w:rsidRDefault="00D709B4">
            <w:pPr>
              <w:pStyle w:val="ConsPlusNormal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до 30 кв. м включительно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0,15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свыше 30 кв. м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0,43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6. Прочие виды товаров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  <w:vAlign w:val="bottom"/>
          </w:tcPr>
          <w:p w:rsidR="00D709B4" w:rsidRPr="001154C8" w:rsidRDefault="00D709B4">
            <w:pPr>
              <w:pStyle w:val="ConsPlusNormal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до 30 кв. м включительно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0,15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lastRenderedPageBreak/>
              <w:t>- площадь свыше 30 кв. м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0,15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8891" w:type="dxa"/>
            <w:gridSpan w:val="2"/>
            <w:tcBorders>
              <w:top w:val="nil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района от 25.11.2005 N 338)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7. Смешанный ассортимент: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D709B4" w:rsidRPr="001154C8" w:rsidRDefault="00D709B4">
            <w:pPr>
              <w:pStyle w:val="ConsPlusNormal"/>
              <w:jc w:val="both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до 30 кв. м включительно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0,23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46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- площадь свыше 30 кв. м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0,22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8891" w:type="dxa"/>
            <w:gridSpan w:val="2"/>
            <w:tcBorders>
              <w:top w:val="nil"/>
              <w:bottom w:val="single" w:sz="4" w:space="0" w:color="auto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(п. 7 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муниципального района от 28.11.2012 N 206)</w:t>
            </w:r>
          </w:p>
        </w:tc>
      </w:tr>
    </w:tbl>
    <w:p w:rsidR="00D709B4" w:rsidRDefault="00D709B4">
      <w:pPr>
        <w:pStyle w:val="ConsPlusNormal"/>
        <w:ind w:firstLine="540"/>
        <w:jc w:val="both"/>
      </w:pPr>
    </w:p>
    <w:p w:rsidR="001154C8" w:rsidRDefault="001154C8" w:rsidP="001154C8">
      <w:pPr>
        <w:pStyle w:val="ConsPlusNormal"/>
        <w:ind w:firstLine="540"/>
        <w:jc w:val="both"/>
      </w:pPr>
      <w:r>
        <w:t>Организации и предприниматели, осуществляющие деятельность в населенных пунктах численностью до 300 человек,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 xml:space="preserve"> при площади до 30 кв. м включительно - 0,05, при площади свыше 30 кв. м - 0,03, в населенных пунктах численностью от 301 до 500 человек для расчета единого налога применяют значение коэффициента К2, равное 0,07.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(в ред. решения Земского Собрания </w:t>
      </w:r>
      <w:proofErr w:type="spellStart"/>
      <w:r>
        <w:t>Кишертского</w:t>
      </w:r>
      <w:proofErr w:type="spellEnd"/>
      <w:r>
        <w:t xml:space="preserve"> района от 25.11.2005 N 338)</w:t>
      </w:r>
    </w:p>
    <w:p w:rsidR="001154C8" w:rsidRDefault="001154C8" w:rsidP="001154C8">
      <w:pPr>
        <w:pStyle w:val="ConsPlusNormal"/>
        <w:ind w:firstLine="540"/>
        <w:jc w:val="both"/>
      </w:pPr>
      <w:r>
        <w:t>При реализации в объекте розничной торговли нескольких групп товаров, если значение корректирующего коэффициента по смешанному ассортименту меньше, чем значение корректирующего коэффициента по какой-либо реализуемой группе товаров, то для исчисления налогооблагаемой базы применяется максимальное значение корректирующего коэффициента по реализуемым группам товаров.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(абзац введен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28.11.2012 N 206)</w:t>
      </w:r>
    </w:p>
    <w:p w:rsidR="001154C8" w:rsidRDefault="001154C8" w:rsidP="001154C8">
      <w:pPr>
        <w:pStyle w:val="ConsPlusNormal"/>
        <w:ind w:firstLine="540"/>
        <w:jc w:val="both"/>
      </w:pPr>
    </w:p>
    <w:p w:rsidR="001154C8" w:rsidRDefault="001154C8" w:rsidP="001154C8">
      <w:pPr>
        <w:pStyle w:val="ConsPlusNormal"/>
        <w:ind w:firstLine="540"/>
        <w:jc w:val="both"/>
      </w:pPr>
      <w:r>
        <w:t>2.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D709B4" w:rsidRDefault="001154C8" w:rsidP="001154C8">
      <w:pPr>
        <w:pStyle w:val="ConsPlusNormal"/>
        <w:ind w:firstLine="540"/>
        <w:jc w:val="both"/>
      </w:pPr>
      <w:r>
        <w:t xml:space="preserve">(в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29.09.2011 N 58)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2145"/>
      </w:tblGrid>
      <w:tr w:rsidR="00D709B4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</w:pPr>
            <w:r>
              <w:t>Подакцизные товары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  <w:jc w:val="both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  <w:jc w:val="center"/>
            </w:pPr>
            <w:r>
              <w:t>1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0,54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  <w:jc w:val="both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  <w:jc w:val="center"/>
            </w:pPr>
            <w:r>
              <w:t>0,54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0,36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</w:pPr>
            <w:r>
              <w:t>Лекарственные средства и изделия медицинского назначения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  <w:jc w:val="both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  <w:jc w:val="center"/>
            </w:pPr>
            <w:r>
              <w:t>1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</w:pPr>
            <w:r>
              <w:t xml:space="preserve">Изделия из натурального меха, натуральной кожи, ковровые изделия, </w:t>
            </w:r>
            <w:r>
              <w:lastRenderedPageBreak/>
              <w:t>детали, агрегаты и принадлежности к автомобилям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  <w:jc w:val="both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</w:pPr>
            <w:r>
              <w:lastRenderedPageBreak/>
              <w:t>- объекты 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  <w:jc w:val="center"/>
            </w:pPr>
            <w:r>
              <w:t>1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0,6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</w:pPr>
            <w:proofErr w:type="gramStart"/>
            <w:r>
              <w:t>Изделия художественных народных промыслов и ремесел, предметы культа и религиозного назначения (кроме изделий из драгоценных металлов и драгоценных камней), 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30% от общего товарооборота)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  <w:jc w:val="both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  <w:jc w:val="center"/>
            </w:pPr>
            <w:r>
              <w:t>0,48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</w:pPr>
            <w:r>
              <w:t>Прочие виды товаров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D709B4" w:rsidRDefault="00D709B4">
            <w:pPr>
              <w:pStyle w:val="ConsPlusNormal"/>
              <w:jc w:val="both"/>
            </w:pP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D709B4" w:rsidRDefault="00D709B4">
            <w:pPr>
              <w:pStyle w:val="ConsPlusNormal"/>
              <w:jc w:val="center"/>
            </w:pPr>
            <w:r>
              <w:t>1</w:t>
            </w:r>
          </w:p>
        </w:tc>
      </w:tr>
      <w:tr w:rsidR="00D709B4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D709B4" w:rsidRDefault="00D709B4">
            <w:pPr>
              <w:pStyle w:val="ConsPlusNormal"/>
              <w:jc w:val="center"/>
            </w:pPr>
            <w:r>
              <w:t>0,48</w:t>
            </w:r>
          </w:p>
        </w:tc>
      </w:tr>
    </w:tbl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Normal"/>
        <w:ind w:firstLine="540"/>
        <w:jc w:val="both"/>
      </w:pPr>
      <w:r>
        <w:t>2.1.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</w:r>
    </w:p>
    <w:p w:rsidR="00D709B4" w:rsidRDefault="00D709B4">
      <w:pPr>
        <w:pStyle w:val="ConsPlusNormal"/>
        <w:jc w:val="both"/>
      </w:pPr>
      <w:r>
        <w:t xml:space="preserve">(в ред. </w:t>
      </w:r>
      <w:r w:rsidR="001154C8" w:rsidRPr="001154C8">
        <w:t>решения</w:t>
      </w:r>
      <w:r w:rsidR="001154C8">
        <w:t xml:space="preserve"> </w:t>
      </w:r>
      <w:r>
        <w:t xml:space="preserve">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29.09.2011 N 58)</w:t>
      </w:r>
    </w:p>
    <w:p w:rsidR="00D709B4" w:rsidRDefault="00D709B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145"/>
      </w:tblGrid>
      <w:tr w:rsidR="00D709B4">
        <w:tc>
          <w:tcPr>
            <w:tcW w:w="6746" w:type="dxa"/>
          </w:tcPr>
          <w:p w:rsidR="00D709B4" w:rsidRDefault="00D709B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45" w:type="dxa"/>
          </w:tcPr>
          <w:p w:rsidR="00D709B4" w:rsidRDefault="00D709B4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709B4">
        <w:tc>
          <w:tcPr>
            <w:tcW w:w="6746" w:type="dxa"/>
          </w:tcPr>
          <w:p w:rsidR="00D709B4" w:rsidRDefault="00D709B4">
            <w:pPr>
              <w:pStyle w:val="ConsPlusNormal"/>
            </w:pPr>
            <w:r>
              <w:t>Подакцизные товары</w:t>
            </w:r>
          </w:p>
        </w:tc>
        <w:tc>
          <w:tcPr>
            <w:tcW w:w="2145" w:type="dxa"/>
          </w:tcPr>
          <w:p w:rsidR="00D709B4" w:rsidRDefault="00D709B4">
            <w:pPr>
              <w:pStyle w:val="ConsPlusNormal"/>
              <w:jc w:val="center"/>
            </w:pPr>
            <w:r>
              <w:t>0,54</w:t>
            </w:r>
          </w:p>
        </w:tc>
      </w:tr>
      <w:tr w:rsidR="00D709B4">
        <w:tc>
          <w:tcPr>
            <w:tcW w:w="6746" w:type="dxa"/>
          </w:tcPr>
          <w:p w:rsidR="00D709B4" w:rsidRDefault="00D709B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2145" w:type="dxa"/>
          </w:tcPr>
          <w:p w:rsidR="00D709B4" w:rsidRDefault="00D709B4">
            <w:pPr>
              <w:pStyle w:val="ConsPlusNormal"/>
              <w:jc w:val="center"/>
            </w:pPr>
            <w:r>
              <w:t>0,36</w:t>
            </w:r>
          </w:p>
        </w:tc>
      </w:tr>
      <w:tr w:rsidR="00D709B4">
        <w:tc>
          <w:tcPr>
            <w:tcW w:w="6746" w:type="dxa"/>
          </w:tcPr>
          <w:p w:rsidR="00D709B4" w:rsidRDefault="00D709B4">
            <w:pPr>
              <w:pStyle w:val="ConsPlusNormal"/>
            </w:pPr>
            <w:r>
              <w:t>Лекарственные средства и изделия медицинского назначения</w:t>
            </w:r>
          </w:p>
        </w:tc>
        <w:tc>
          <w:tcPr>
            <w:tcW w:w="2145" w:type="dxa"/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c>
          <w:tcPr>
            <w:tcW w:w="6746" w:type="dxa"/>
          </w:tcPr>
          <w:p w:rsidR="00D709B4" w:rsidRDefault="00D709B4">
            <w:pPr>
              <w:pStyle w:val="ConsPlusNormal"/>
            </w:pPr>
            <w:r>
              <w:t>Изделия из натурального меха, натуральной кожи, ковровые изделия, детали, агрегаты и принадлежности к автомобилям</w:t>
            </w:r>
          </w:p>
        </w:tc>
        <w:tc>
          <w:tcPr>
            <w:tcW w:w="2145" w:type="dxa"/>
          </w:tcPr>
          <w:p w:rsidR="00D709B4" w:rsidRDefault="00D709B4">
            <w:pPr>
              <w:pStyle w:val="ConsPlusNormal"/>
              <w:jc w:val="center"/>
            </w:pPr>
            <w:r>
              <w:t>0,6</w:t>
            </w:r>
          </w:p>
        </w:tc>
      </w:tr>
      <w:tr w:rsidR="00D709B4">
        <w:tc>
          <w:tcPr>
            <w:tcW w:w="6746" w:type="dxa"/>
          </w:tcPr>
          <w:p w:rsidR="00D709B4" w:rsidRDefault="00D709B4">
            <w:pPr>
              <w:pStyle w:val="ConsPlusNormal"/>
            </w:pPr>
            <w:proofErr w:type="gramStart"/>
            <w:r>
              <w:t>Изделия художественных народных промыслов и ремесел, предметы культуры и религиозного назначения (кроме изделий из драгоценных металлов и драгоценных камней), 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30% от общего товарооборота)</w:t>
            </w:r>
            <w:proofErr w:type="gramEnd"/>
          </w:p>
        </w:tc>
        <w:tc>
          <w:tcPr>
            <w:tcW w:w="2145" w:type="dxa"/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c>
          <w:tcPr>
            <w:tcW w:w="6746" w:type="dxa"/>
          </w:tcPr>
          <w:p w:rsidR="00D709B4" w:rsidRDefault="00D709B4">
            <w:pPr>
              <w:pStyle w:val="ConsPlusNormal"/>
            </w:pPr>
            <w:r>
              <w:t>Прочие виды товаров</w:t>
            </w:r>
          </w:p>
        </w:tc>
        <w:tc>
          <w:tcPr>
            <w:tcW w:w="2145" w:type="dxa"/>
          </w:tcPr>
          <w:p w:rsidR="00D709B4" w:rsidRDefault="00D709B4">
            <w:pPr>
              <w:pStyle w:val="ConsPlusNormal"/>
              <w:jc w:val="center"/>
            </w:pPr>
            <w:r>
              <w:t>0,48</w:t>
            </w:r>
          </w:p>
        </w:tc>
      </w:tr>
    </w:tbl>
    <w:p w:rsidR="00D709B4" w:rsidRPr="001154C8" w:rsidRDefault="00D709B4">
      <w:pPr>
        <w:pStyle w:val="ConsPlusNormal"/>
        <w:jc w:val="both"/>
      </w:pPr>
      <w:r>
        <w:t>(п</w:t>
      </w:r>
      <w:r w:rsidRPr="001154C8">
        <w:t xml:space="preserve">. 2.1 в ред. решения Земского Собрания </w:t>
      </w:r>
      <w:proofErr w:type="spellStart"/>
      <w:r w:rsidRPr="001154C8">
        <w:t>Кишертского</w:t>
      </w:r>
      <w:proofErr w:type="spellEnd"/>
      <w:r w:rsidRPr="001154C8">
        <w:t xml:space="preserve"> муниципального района от 25.11.2009 N 481)</w:t>
      </w:r>
    </w:p>
    <w:p w:rsidR="00D709B4" w:rsidRDefault="00D709B4">
      <w:pPr>
        <w:pStyle w:val="ConsPlusNormal"/>
        <w:jc w:val="both"/>
      </w:pPr>
    </w:p>
    <w:p w:rsidR="00D709B4" w:rsidRDefault="00D709B4">
      <w:pPr>
        <w:pStyle w:val="ConsPlusNormal"/>
        <w:ind w:firstLine="540"/>
        <w:jc w:val="both"/>
      </w:pPr>
      <w:r>
        <w:t>3.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общественного питания":</w:t>
      </w:r>
    </w:p>
    <w:p w:rsidR="00D709B4" w:rsidRDefault="00D709B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145"/>
      </w:tblGrid>
      <w:tr w:rsidR="00D709B4">
        <w:tc>
          <w:tcPr>
            <w:tcW w:w="6746" w:type="dxa"/>
          </w:tcPr>
          <w:p w:rsidR="00D709B4" w:rsidRDefault="00D709B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45" w:type="dxa"/>
          </w:tcPr>
          <w:p w:rsidR="00D709B4" w:rsidRDefault="00D709B4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709B4">
        <w:tblPrEx>
          <w:tblBorders>
            <w:insideH w:val="nil"/>
          </w:tblBorders>
        </w:tblPrEx>
        <w:tc>
          <w:tcPr>
            <w:tcW w:w="6746" w:type="dxa"/>
            <w:tcBorders>
              <w:bottom w:val="nil"/>
            </w:tcBorders>
          </w:tcPr>
          <w:p w:rsidR="00D709B4" w:rsidRDefault="00D709B4">
            <w:pPr>
              <w:pStyle w:val="ConsPlusNormal"/>
            </w:pPr>
            <w:r>
              <w:t>Столовые с площадью зала обслуживания до 50 кв. м включительно</w:t>
            </w:r>
          </w:p>
        </w:tc>
        <w:tc>
          <w:tcPr>
            <w:tcW w:w="2145" w:type="dxa"/>
            <w:tcBorders>
              <w:bottom w:val="nil"/>
            </w:tcBorders>
          </w:tcPr>
          <w:p w:rsidR="00D709B4" w:rsidRDefault="00D709B4">
            <w:pPr>
              <w:pStyle w:val="ConsPlusNormal"/>
              <w:jc w:val="center"/>
            </w:pPr>
            <w:r>
              <w:t>0,17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8891" w:type="dxa"/>
            <w:gridSpan w:val="2"/>
            <w:tcBorders>
              <w:top w:val="nil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муниципального района от 29.09.2011 N 58)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6746" w:type="dxa"/>
            <w:tcBorders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Столовые с площадью зала обслуживания свыше 50 кв. м</w:t>
            </w:r>
          </w:p>
        </w:tc>
        <w:tc>
          <w:tcPr>
            <w:tcW w:w="2145" w:type="dxa"/>
            <w:tcBorders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0,16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8891" w:type="dxa"/>
            <w:gridSpan w:val="2"/>
            <w:tcBorders>
              <w:top w:val="nil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муниципального района от 29.09.2011 N 58)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6746" w:type="dxa"/>
            <w:tcBorders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Закусочные, бары с площадью зала</w:t>
            </w:r>
          </w:p>
          <w:p w:rsidR="00D709B4" w:rsidRPr="001154C8" w:rsidRDefault="00D709B4">
            <w:pPr>
              <w:pStyle w:val="ConsPlusNormal"/>
              <w:jc w:val="both"/>
            </w:pPr>
            <w:r w:rsidRPr="001154C8">
              <w:t>обслуживания до 50 кв. м включительно</w:t>
            </w:r>
          </w:p>
        </w:tc>
        <w:tc>
          <w:tcPr>
            <w:tcW w:w="2145" w:type="dxa"/>
            <w:tcBorders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0,27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8891" w:type="dxa"/>
            <w:gridSpan w:val="2"/>
            <w:tcBorders>
              <w:top w:val="nil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муниципального района от 31.10.2013 N 303)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6746" w:type="dxa"/>
            <w:tcBorders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Закусочные, бары с площадью зала обслуживания свыше 50 кв. м</w:t>
            </w:r>
          </w:p>
        </w:tc>
        <w:tc>
          <w:tcPr>
            <w:tcW w:w="2145" w:type="dxa"/>
            <w:tcBorders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0,26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8891" w:type="dxa"/>
            <w:gridSpan w:val="2"/>
            <w:tcBorders>
              <w:top w:val="nil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муниципального района от 31.10.2013 N 303)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6746" w:type="dxa"/>
            <w:tcBorders>
              <w:bottom w:val="nil"/>
            </w:tcBorders>
          </w:tcPr>
          <w:p w:rsidR="00D709B4" w:rsidRPr="001154C8" w:rsidRDefault="00D709B4">
            <w:pPr>
              <w:pStyle w:val="ConsPlusNormal"/>
            </w:pPr>
            <w:r w:rsidRPr="001154C8">
              <w:t>Оказание услуг общественного питания, не имеющих зала обслуживания</w:t>
            </w:r>
          </w:p>
        </w:tc>
        <w:tc>
          <w:tcPr>
            <w:tcW w:w="2145" w:type="dxa"/>
            <w:tcBorders>
              <w:bottom w:val="nil"/>
            </w:tcBorders>
          </w:tcPr>
          <w:p w:rsidR="00D709B4" w:rsidRPr="001154C8" w:rsidRDefault="00D709B4">
            <w:pPr>
              <w:pStyle w:val="ConsPlusNormal"/>
              <w:jc w:val="center"/>
            </w:pPr>
            <w:r w:rsidRPr="001154C8">
              <w:t>0,26</w:t>
            </w:r>
          </w:p>
        </w:tc>
      </w:tr>
      <w:tr w:rsidR="00D709B4">
        <w:tblPrEx>
          <w:tblBorders>
            <w:insideH w:val="nil"/>
          </w:tblBorders>
        </w:tblPrEx>
        <w:tc>
          <w:tcPr>
            <w:tcW w:w="8891" w:type="dxa"/>
            <w:gridSpan w:val="2"/>
            <w:tcBorders>
              <w:top w:val="nil"/>
            </w:tcBorders>
          </w:tcPr>
          <w:p w:rsidR="00D709B4" w:rsidRPr="001154C8" w:rsidRDefault="00D709B4">
            <w:pPr>
              <w:pStyle w:val="ConsPlusNormal"/>
              <w:jc w:val="both"/>
            </w:pPr>
            <w:r w:rsidRPr="001154C8">
              <w:t xml:space="preserve">(в ред. решения Земского Собрания </w:t>
            </w:r>
            <w:proofErr w:type="spellStart"/>
            <w:r w:rsidRPr="001154C8">
              <w:t>Кишертского</w:t>
            </w:r>
            <w:proofErr w:type="spellEnd"/>
            <w:r w:rsidRPr="001154C8">
              <w:t xml:space="preserve"> муниципального района от 29.09.2011 N 58)</w:t>
            </w:r>
          </w:p>
        </w:tc>
      </w:tr>
    </w:tbl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Normal"/>
        <w:ind w:firstLine="540"/>
        <w:jc w:val="both"/>
      </w:pPr>
      <w:r>
        <w:t>4.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бытовых услуг":</w:t>
      </w:r>
    </w:p>
    <w:p w:rsidR="00D709B4" w:rsidRDefault="00D709B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D709B4">
        <w:tc>
          <w:tcPr>
            <w:tcW w:w="7087" w:type="dxa"/>
          </w:tcPr>
          <w:p w:rsidR="00D709B4" w:rsidRDefault="00D709B4">
            <w:pPr>
              <w:pStyle w:val="ConsPlusNormal"/>
              <w:jc w:val="center"/>
            </w:pPr>
            <w:r>
              <w:t xml:space="preserve">Наименование услуг </w:t>
            </w:r>
            <w:r w:rsidRPr="001154C8">
              <w:t>&lt;*&gt;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 xml:space="preserve">Услуги по ремонту и подгонке/перешиву бытовых текстильных изделий, </w:t>
            </w:r>
            <w:proofErr w:type="gramStart"/>
            <w:r>
              <w:t>кроме</w:t>
            </w:r>
            <w:proofErr w:type="gramEnd"/>
            <w:r>
              <w:t xml:space="preserve"> трикотажных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ремонту трикотажных изделий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пошиву одежды из натуральной и искусственной кожи, замши, производственной одежды, нательного белья, верхней одежды, меховых изделий, прочей одежды и аксессуаров по индивидуальному заказу населения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0,3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lastRenderedPageBreak/>
              <w:t>Услуги портретной фотографии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в области фотографии прочие, не включенные в другие группировки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ремонту приборов бытовой электроники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ремонту бытовых приборов, домашнего и садового инвентаря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ремонту обуви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ремонту мебели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парикмахерские для женщин и девочек, мужчин и мальчиков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ремонту часов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простому и сложному гриму лица, макияж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косметическому комплексному уходу за кожей лица и шеи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Гигиеническая чистка лица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маникюру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педикюру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косметические прочие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приемщика заказов службы по организации похорон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организатора ритуала по похоронам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организации похорон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пошиву, изготовлению и прокату похоронных принадлежностей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7087" w:type="dxa"/>
          </w:tcPr>
          <w:p w:rsidR="00D709B4" w:rsidRDefault="00D709B4">
            <w:pPr>
              <w:pStyle w:val="ConsPlusNormal"/>
            </w:pPr>
            <w:r>
              <w:t>Услуги по изготовлению траурных венков, искусственных цветов, гирлянд</w:t>
            </w:r>
          </w:p>
        </w:tc>
        <w:tc>
          <w:tcPr>
            <w:tcW w:w="1984" w:type="dxa"/>
          </w:tcPr>
          <w:p w:rsidR="00D709B4" w:rsidRDefault="00D709B4">
            <w:pPr>
              <w:pStyle w:val="ConsPlusNormal"/>
              <w:jc w:val="center"/>
            </w:pPr>
            <w:r>
              <w:t>0,5</w:t>
            </w:r>
          </w:p>
        </w:tc>
      </w:tr>
      <w:tr w:rsidR="00D709B4">
        <w:tc>
          <w:tcPr>
            <w:tcW w:w="9071" w:type="dxa"/>
            <w:gridSpan w:val="2"/>
          </w:tcPr>
          <w:p w:rsidR="00D709B4" w:rsidRDefault="00D709B4">
            <w:pPr>
              <w:pStyle w:val="ConsPlusNormal"/>
              <w:ind w:left="283"/>
              <w:jc w:val="both"/>
            </w:pPr>
            <w:r>
              <w:t>--------------------------------</w:t>
            </w:r>
          </w:p>
          <w:p w:rsidR="00D709B4" w:rsidRDefault="00D709B4">
            <w:pPr>
              <w:pStyle w:val="ConsPlusNormal"/>
              <w:ind w:firstLine="283"/>
              <w:jc w:val="both"/>
            </w:pPr>
            <w:bookmarkStart w:id="3" w:name="P273"/>
            <w:bookmarkEnd w:id="3"/>
            <w:r>
              <w:t>&lt;*&gt; Коды услуг, относящихся к бытовым услугам, определяются Постановлением Правительства Российской Федерации "Об утверждении кодов видов экономической деятельности и кодов услуг, относящихся к бытовым услугам, в целях применения Налогового кодекса Российской Федерации"</w:t>
            </w:r>
          </w:p>
        </w:tc>
      </w:tr>
    </w:tbl>
    <w:p w:rsidR="00D709B4" w:rsidRDefault="00D709B4">
      <w:pPr>
        <w:pStyle w:val="ConsPlusNormal"/>
        <w:ind w:firstLine="540"/>
        <w:jc w:val="both"/>
      </w:pPr>
    </w:p>
    <w:p w:rsidR="00D709B4" w:rsidRDefault="00D709B4">
      <w:pPr>
        <w:pStyle w:val="ConsPlusNormal"/>
        <w:jc w:val="both"/>
      </w:pPr>
      <w:r>
        <w:t xml:space="preserve">(п. 4 в </w:t>
      </w:r>
      <w:r w:rsidR="001154C8" w:rsidRPr="001154C8">
        <w:t xml:space="preserve">ред. решения </w:t>
      </w:r>
      <w:r>
        <w:t xml:space="preserve">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24.11.2016 N 32)</w:t>
      </w:r>
    </w:p>
    <w:p w:rsidR="00D709B4" w:rsidRDefault="00D709B4">
      <w:pPr>
        <w:pStyle w:val="ConsPlusNormal"/>
        <w:spacing w:before="220"/>
        <w:ind w:firstLine="540"/>
        <w:jc w:val="both"/>
      </w:pPr>
      <w:r>
        <w:t xml:space="preserve">5. Для вида предпринимательской деятельности "Оказание автотранспортных услуг по </w:t>
      </w:r>
      <w:r>
        <w:lastRenderedPageBreak/>
        <w:t>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 установить значение корректирующего коэффициента К</w:t>
      </w:r>
      <w:proofErr w:type="gramStart"/>
      <w:r>
        <w:t>2</w:t>
      </w:r>
      <w:proofErr w:type="gramEnd"/>
      <w:r>
        <w:t>: по виду предпринимательской деятельности "Оказание автотранспортных услуг по перевозке грузов" К2, равное 1,0, по виду предпринимательской деятельности "Оказание автотранспортных услуг по перевозке пассажиров" легковыми автомобилями вместимостью до 10 чел. К</w:t>
      </w:r>
      <w:proofErr w:type="gramStart"/>
      <w:r>
        <w:t>2</w:t>
      </w:r>
      <w:proofErr w:type="gramEnd"/>
      <w:r>
        <w:t>, равное 0,13, и автобусами вместимостью свыше 10 чел. К2, равное 0,06.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25.12.2014 N 451)</w:t>
      </w:r>
    </w:p>
    <w:p w:rsidR="001154C8" w:rsidRDefault="001154C8" w:rsidP="001154C8">
      <w:pPr>
        <w:pStyle w:val="ConsPlusNormal"/>
        <w:ind w:firstLine="540"/>
        <w:jc w:val="both"/>
      </w:pPr>
      <w:r>
        <w:t>5.1. Для вида предпринимательской деятельности "Оказание услуг по ремонту, техническому обслуживанию и мойке автомототранспортных средств"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0,7.</w:t>
      </w:r>
    </w:p>
    <w:p w:rsidR="001154C8" w:rsidRDefault="001154C8" w:rsidP="001154C8">
      <w:pPr>
        <w:pStyle w:val="ConsPlusNormal"/>
        <w:ind w:firstLine="540"/>
        <w:jc w:val="both"/>
      </w:pPr>
      <w:r>
        <w:t>(</w:t>
      </w:r>
      <w:proofErr w:type="spellStart"/>
      <w:r>
        <w:t>пп</w:t>
      </w:r>
      <w:proofErr w:type="spellEnd"/>
      <w:r>
        <w:t xml:space="preserve">. 5.1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31.10.2013 N 303)</w:t>
      </w:r>
    </w:p>
    <w:p w:rsidR="001154C8" w:rsidRDefault="001154C8" w:rsidP="001154C8">
      <w:pPr>
        <w:pStyle w:val="ConsPlusNormal"/>
        <w:ind w:firstLine="540"/>
        <w:jc w:val="both"/>
      </w:pPr>
      <w:r>
        <w:t>5.2. Для вида предпринимательской деятельности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 установить значение корректирующего коэффициента К</w:t>
      </w:r>
      <w:proofErr w:type="gramStart"/>
      <w:r>
        <w:t>2</w:t>
      </w:r>
      <w:proofErr w:type="gramEnd"/>
      <w:r>
        <w:t>: стоянки открытого типа - 0,5, стоянки закрытого типа - 0,1.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(в ред. решений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362, от 28.11.2012 N 206)</w:t>
      </w:r>
    </w:p>
    <w:p w:rsidR="001154C8" w:rsidRDefault="001154C8" w:rsidP="001154C8">
      <w:pPr>
        <w:pStyle w:val="ConsPlusNormal"/>
        <w:ind w:firstLine="540"/>
        <w:jc w:val="both"/>
      </w:pPr>
      <w:r>
        <w:t>5.3. Для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метров"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0,3.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5.3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31.10.2007 N 252;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362)</w:t>
      </w:r>
    </w:p>
    <w:p w:rsidR="001154C8" w:rsidRDefault="001154C8" w:rsidP="001154C8">
      <w:pPr>
        <w:pStyle w:val="ConsPlusNormal"/>
        <w:ind w:firstLine="540"/>
        <w:jc w:val="both"/>
      </w:pPr>
      <w:r>
        <w:t>5.4. Для вида предпринимательской деятельности распространения наружной рекламы с использованием рекламных конструкций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1,0.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5.4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28.11.2008 N 362)</w:t>
      </w:r>
    </w:p>
    <w:p w:rsidR="001154C8" w:rsidRDefault="001154C8" w:rsidP="001154C8">
      <w:pPr>
        <w:pStyle w:val="ConsPlusNormal"/>
        <w:ind w:firstLine="540"/>
        <w:jc w:val="both"/>
      </w:pPr>
      <w:r>
        <w:t>5.5. Для вида предпринимательской деятельности размещения рекламы с использованием внешних и внутренних поверхностей транспортных средств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1,0.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5.5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28.11.2012 N 206)</w:t>
      </w:r>
    </w:p>
    <w:p w:rsidR="001154C8" w:rsidRDefault="001154C8" w:rsidP="001154C8">
      <w:pPr>
        <w:pStyle w:val="ConsPlusNormal"/>
        <w:ind w:firstLine="540"/>
        <w:jc w:val="both"/>
      </w:pPr>
      <w:r>
        <w:t>5.6. Для вида предпринимательской деятельности "Оказание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0,8.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5.6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29.09.2011 N 58)</w:t>
      </w:r>
    </w:p>
    <w:p w:rsidR="001154C8" w:rsidRDefault="001154C8" w:rsidP="001154C8">
      <w:pPr>
        <w:pStyle w:val="ConsPlusNormal"/>
        <w:ind w:firstLine="540"/>
        <w:jc w:val="both"/>
      </w:pPr>
      <w:r>
        <w:t>5.6.1. Для вида предпринимательской деятельности "Оказания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0,3.</w:t>
      </w:r>
    </w:p>
    <w:p w:rsidR="001154C8" w:rsidRDefault="001154C8" w:rsidP="001154C8">
      <w:pPr>
        <w:pStyle w:val="ConsPlusNormal"/>
        <w:ind w:firstLine="540"/>
        <w:jc w:val="both"/>
      </w:pPr>
      <w:r>
        <w:lastRenderedPageBreak/>
        <w:t xml:space="preserve">(п. 5.6.1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29.09.2011 N 58)</w:t>
      </w:r>
    </w:p>
    <w:p w:rsidR="001154C8" w:rsidRDefault="001154C8" w:rsidP="001154C8">
      <w:pPr>
        <w:pStyle w:val="ConsPlusNormal"/>
        <w:ind w:firstLine="540"/>
        <w:jc w:val="both"/>
      </w:pPr>
      <w:r>
        <w:t>5.7. Для вида предпринимательской деятельности "Оказание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0,8.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5.7 в ред. решения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29.09.2011 N 58)</w:t>
      </w:r>
    </w:p>
    <w:p w:rsidR="001154C8" w:rsidRDefault="001154C8" w:rsidP="001154C8">
      <w:pPr>
        <w:pStyle w:val="ConsPlusNormal"/>
        <w:ind w:firstLine="540"/>
        <w:jc w:val="both"/>
      </w:pPr>
      <w:r>
        <w:t>5.7.1. Для вида предпринимательской деятельности "Оказание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0,3.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5.7.1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29.09.2011 N 58)</w:t>
      </w:r>
    </w:p>
    <w:p w:rsidR="001154C8" w:rsidRDefault="001154C8" w:rsidP="001154C8">
      <w:pPr>
        <w:pStyle w:val="ConsPlusNormal"/>
        <w:ind w:firstLine="540"/>
        <w:jc w:val="both"/>
      </w:pPr>
      <w:r>
        <w:t>5.8. Для вида предпринимательской деятельности "Реализация товаров с использованием торговых автоматов"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1,0.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5.8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29.09.2011 N 58)</w:t>
      </w:r>
    </w:p>
    <w:p w:rsidR="001154C8" w:rsidRDefault="001154C8" w:rsidP="001154C8">
      <w:pPr>
        <w:pStyle w:val="ConsPlusNormal"/>
        <w:ind w:firstLine="540"/>
        <w:jc w:val="both"/>
      </w:pPr>
      <w:r>
        <w:t>5.9. Для вида предпринимательской деятельности "Развозная и разносная торговля"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1,0.</w:t>
      </w:r>
    </w:p>
    <w:p w:rsidR="001154C8" w:rsidRDefault="001154C8" w:rsidP="001154C8">
      <w:pPr>
        <w:pStyle w:val="ConsPlusNormal"/>
        <w:ind w:firstLine="540"/>
        <w:jc w:val="both"/>
      </w:pPr>
      <w:r>
        <w:t xml:space="preserve">(п. 5.9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Кишертского</w:t>
      </w:r>
      <w:proofErr w:type="spellEnd"/>
      <w:r>
        <w:t xml:space="preserve"> муниципального района от 29.09.2011 N 58)</w:t>
      </w:r>
    </w:p>
    <w:p w:rsidR="00D709B4" w:rsidRDefault="001154C8" w:rsidP="001154C8">
      <w:pPr>
        <w:pStyle w:val="ConsPlusNormal"/>
        <w:ind w:firstLine="540"/>
        <w:jc w:val="both"/>
      </w:pPr>
      <w:r>
        <w:t>6.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за каждый месяц, в котором произошли данные изменения. По итогам налогового периода 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как отношение суммы значений коэффициентов за каждый месяц к числу календарных месяцев в налоговом периоде, в течение которых осуществлялась деятельность.</w:t>
      </w:r>
    </w:p>
    <w:sectPr w:rsidR="00D709B4" w:rsidSect="00AC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B4"/>
    <w:rsid w:val="001154C8"/>
    <w:rsid w:val="00D709B4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0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09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0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09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2</cp:revision>
  <dcterms:created xsi:type="dcterms:W3CDTF">2018-09-25T08:51:00Z</dcterms:created>
  <dcterms:modified xsi:type="dcterms:W3CDTF">2018-10-29T10:17:00Z</dcterms:modified>
</cp:coreProperties>
</file>