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BF" w:rsidRDefault="00984DBF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984DBF" w:rsidRDefault="00984DBF">
      <w:pPr>
        <w:pStyle w:val="ConsPlusNormal"/>
        <w:jc w:val="right"/>
      </w:pPr>
      <w:r>
        <w:t>к решению</w:t>
      </w:r>
    </w:p>
    <w:p w:rsidR="00984DBF" w:rsidRDefault="00984DBF">
      <w:pPr>
        <w:pStyle w:val="ConsPlusNormal"/>
        <w:jc w:val="right"/>
      </w:pPr>
      <w:r>
        <w:t>Земского Собрания</w:t>
      </w:r>
    </w:p>
    <w:p w:rsidR="00984DBF" w:rsidRDefault="00984DBF">
      <w:pPr>
        <w:pStyle w:val="ConsPlusNormal"/>
        <w:jc w:val="right"/>
      </w:pPr>
      <w:r>
        <w:t>от 22.11.2005 N 176</w:t>
      </w:r>
    </w:p>
    <w:p w:rsidR="00984DBF" w:rsidRDefault="00984DBF">
      <w:pPr>
        <w:pStyle w:val="ConsPlusNormal"/>
        <w:jc w:val="both"/>
      </w:pPr>
    </w:p>
    <w:p w:rsidR="00984DBF" w:rsidRDefault="00984DBF">
      <w:pPr>
        <w:pStyle w:val="ConsPlusTitle"/>
        <w:jc w:val="center"/>
      </w:pPr>
      <w:bookmarkStart w:id="1" w:name="P37"/>
      <w:bookmarkEnd w:id="1"/>
      <w:r>
        <w:t>ПОЛОЖЕНИЕ</w:t>
      </w:r>
    </w:p>
    <w:p w:rsidR="00984DBF" w:rsidRDefault="00984DBF">
      <w:pPr>
        <w:pStyle w:val="ConsPlusTitle"/>
        <w:jc w:val="center"/>
      </w:pPr>
      <w:r>
        <w:t>О ПОРЯДКЕ ИСЧИСЛЕНИЯ И УПЛАТЫ ЕДИНОГО НАЛОГА</w:t>
      </w:r>
    </w:p>
    <w:p w:rsidR="00984DBF" w:rsidRDefault="00984DBF">
      <w:pPr>
        <w:pStyle w:val="ConsPlusTitle"/>
        <w:jc w:val="center"/>
      </w:pPr>
      <w:r>
        <w:t>НА ВМЕНЕННЫЙ ДОХОД ДЛЯ ОТДЕЛЬНЫХ ВИДОВ ДЕЯТЕЛЬНОСТИ</w:t>
      </w:r>
    </w:p>
    <w:p w:rsidR="00984DBF" w:rsidRDefault="00984DBF">
      <w:pPr>
        <w:spacing w:after="1"/>
      </w:pPr>
    </w:p>
    <w:p w:rsidR="00B12F92" w:rsidRDefault="00B12F92" w:rsidP="00B12F92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Куединского</w:t>
      </w:r>
      <w:proofErr w:type="spellEnd"/>
      <w:r>
        <w:t xml:space="preserve"> района от 06.12.2005 N 189,</w:t>
      </w:r>
      <w:proofErr w:type="gramEnd"/>
    </w:p>
    <w:p w:rsidR="00B12F92" w:rsidRDefault="00B12F92" w:rsidP="00B12F92">
      <w:pPr>
        <w:pStyle w:val="ConsPlusNormal"/>
        <w:jc w:val="center"/>
      </w:pPr>
      <w:r>
        <w:t>от 27.02.2006 N 217, от 17.07.2007 N 381, от 17.10.2007 N 398,</w:t>
      </w:r>
    </w:p>
    <w:p w:rsidR="00B12F92" w:rsidRDefault="00B12F92" w:rsidP="00B12F92">
      <w:pPr>
        <w:pStyle w:val="ConsPlusNormal"/>
        <w:jc w:val="center"/>
      </w:pPr>
      <w:r>
        <w:t>от 29.06.2009 N 32, от 02.06.2010 N 129, от 14.04.2011 N 246,</w:t>
      </w:r>
    </w:p>
    <w:p w:rsidR="00B12F92" w:rsidRDefault="00B12F92" w:rsidP="00B12F92">
      <w:pPr>
        <w:pStyle w:val="ConsPlusNormal"/>
        <w:jc w:val="center"/>
      </w:pPr>
      <w:r>
        <w:t>от 09.11.2012 N 362, от 23.12.2016 N 200)</w:t>
      </w:r>
    </w:p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jc w:val="center"/>
        <w:outlineLvl w:val="1"/>
      </w:pPr>
      <w:r>
        <w:t>1. Общие положения</w:t>
      </w:r>
    </w:p>
    <w:p w:rsidR="00984DBF" w:rsidRDefault="00984DBF">
      <w:pPr>
        <w:pStyle w:val="ConsPlusNormal"/>
        <w:jc w:val="both"/>
      </w:pPr>
    </w:p>
    <w:p w:rsidR="00B12F92" w:rsidRDefault="00B12F92" w:rsidP="00B12F92">
      <w:pPr>
        <w:pStyle w:val="ConsPlusNormal"/>
        <w:ind w:firstLine="709"/>
        <w:jc w:val="both"/>
      </w:pPr>
      <w:r>
        <w:t xml:space="preserve">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Куединского</w:t>
      </w:r>
      <w:proofErr w:type="spellEnd"/>
      <w:r>
        <w:t xml:space="preserve"> района применяется в соответствии с Налоговым кодексом Российской Федерации и настоящим решением.</w:t>
      </w:r>
    </w:p>
    <w:p w:rsidR="00B12F92" w:rsidRDefault="00B12F92" w:rsidP="00B12F92">
      <w:pPr>
        <w:pStyle w:val="ConsPlusNormal"/>
        <w:ind w:firstLine="709"/>
        <w:jc w:val="both"/>
      </w:pPr>
    </w:p>
    <w:p w:rsidR="00B12F92" w:rsidRDefault="00B12F92" w:rsidP="00B12F92">
      <w:pPr>
        <w:pStyle w:val="ConsPlusNormal"/>
        <w:ind w:firstLine="709"/>
        <w:jc w:val="both"/>
      </w:pPr>
      <w:r>
        <w:t>2. Виды предпринимательской деятельности, в отношении</w:t>
      </w:r>
    </w:p>
    <w:p w:rsidR="00B12F92" w:rsidRDefault="00B12F92" w:rsidP="00B12F92">
      <w:pPr>
        <w:pStyle w:val="ConsPlusNormal"/>
        <w:ind w:firstLine="709"/>
        <w:jc w:val="both"/>
      </w:pPr>
      <w:proofErr w:type="gramStart"/>
      <w:r>
        <w:t>которых</w:t>
      </w:r>
      <w:proofErr w:type="gramEnd"/>
      <w:r>
        <w:t xml:space="preserve"> вводится единый налог на вмененный доход</w:t>
      </w:r>
    </w:p>
    <w:p w:rsidR="00B12F92" w:rsidRDefault="00B12F92" w:rsidP="00B12F92">
      <w:pPr>
        <w:pStyle w:val="ConsPlusNormal"/>
        <w:ind w:firstLine="709"/>
        <w:jc w:val="both"/>
      </w:pPr>
      <w:r>
        <w:t>для отдельных видов деятельности</w:t>
      </w:r>
    </w:p>
    <w:p w:rsidR="00B12F92" w:rsidRDefault="00B12F92" w:rsidP="00B12F92">
      <w:pPr>
        <w:pStyle w:val="ConsPlusNormal"/>
        <w:ind w:firstLine="709"/>
        <w:jc w:val="both"/>
      </w:pPr>
    </w:p>
    <w:p w:rsidR="00B12F92" w:rsidRDefault="00B12F92" w:rsidP="00B12F92">
      <w:pPr>
        <w:pStyle w:val="ConsPlusNormal"/>
        <w:ind w:firstLine="709"/>
        <w:jc w:val="both"/>
      </w:pPr>
      <w:r>
        <w:t>Система налогообложения в виде единого налога на вмененный доход для отдельных видов деятельности (далее в настоящем Положении - единый налог) вводится в отношении следующих видов предпринимательской деятельности: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23.12.2016 N 200)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ветеринарных услуг;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услуг по ремонту, техническому обслуживанию и мойке автотранспортных средств;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Положения розничная торговля, осуществляемая через магазины и павильоны с площадью торгового зала более 150 метров квадратных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12F92" w:rsidRDefault="00B12F92" w:rsidP="00B12F92">
      <w:pPr>
        <w:pStyle w:val="ConsPlusNormal"/>
        <w:ind w:firstLine="709"/>
        <w:jc w:val="both"/>
      </w:pPr>
      <w:r>
        <w:t>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оказания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</w:t>
      </w:r>
      <w:r>
        <w:lastRenderedPageBreak/>
        <w:t xml:space="preserve">метров по каждому объекту организации общественного питания. </w:t>
      </w:r>
      <w:proofErr w:type="gramStart"/>
      <w:r>
        <w:t>Для целей настоящего Положения оказание услуг общественного питания, осуществляемых через объекты организаций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B12F92" w:rsidRDefault="00B12F92" w:rsidP="00B12F92">
      <w:pPr>
        <w:pStyle w:val="ConsPlusNormal"/>
        <w:ind w:firstLine="709"/>
        <w:jc w:val="both"/>
      </w:pPr>
      <w:r>
        <w:t>оказания услуг общественного питания, осуществляемых через объекты организаций общественного питания, не имеющие зала обслуживания посетителей;</w:t>
      </w:r>
    </w:p>
    <w:p w:rsidR="00B12F92" w:rsidRDefault="00B12F92" w:rsidP="00B12F92">
      <w:pPr>
        <w:pStyle w:val="ConsPlusNormal"/>
        <w:ind w:firstLine="709"/>
        <w:jc w:val="both"/>
      </w:pPr>
      <w:r>
        <w:t>распространения наружной рекламы с использованием рекламных конструкций;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(абзац введен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размещения рекламы на транспортных средствах;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(абзац введен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(абзац введен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</w:p>
    <w:p w:rsidR="00B12F92" w:rsidRDefault="00B12F92" w:rsidP="00B12F92">
      <w:pPr>
        <w:pStyle w:val="ConsPlusNormal"/>
        <w:ind w:firstLine="709"/>
        <w:jc w:val="both"/>
      </w:pPr>
      <w:r>
        <w:t xml:space="preserve">3. Значения корректирующего коэффициента </w:t>
      </w:r>
      <w:proofErr w:type="gramStart"/>
      <w:r>
        <w:t>базовой</w:t>
      </w:r>
      <w:proofErr w:type="gramEnd"/>
    </w:p>
    <w:p w:rsidR="00B12F92" w:rsidRDefault="00B12F92" w:rsidP="00B12F92">
      <w:pPr>
        <w:pStyle w:val="ConsPlusNormal"/>
        <w:ind w:firstLine="709"/>
        <w:jc w:val="both"/>
      </w:pPr>
      <w:r>
        <w:t>доходности К</w:t>
      </w:r>
      <w:proofErr w:type="gramStart"/>
      <w:r>
        <w:t>2</w:t>
      </w:r>
      <w:proofErr w:type="gramEnd"/>
    </w:p>
    <w:p w:rsidR="00B12F92" w:rsidRDefault="00B12F92" w:rsidP="00B12F92">
      <w:pPr>
        <w:pStyle w:val="ConsPlusNormal"/>
        <w:ind w:firstLine="709"/>
        <w:jc w:val="both"/>
      </w:pPr>
    </w:p>
    <w:p w:rsidR="00B12F92" w:rsidRDefault="00B12F92" w:rsidP="00B12F92">
      <w:pPr>
        <w:pStyle w:val="ConsPlusNormal"/>
        <w:ind w:firstLine="709"/>
        <w:jc w:val="both"/>
      </w:pPr>
      <w:r>
        <w:t>3.1. Значение корректирующего коэффициента К</w:t>
      </w:r>
      <w:proofErr w:type="gramStart"/>
      <w:r>
        <w:t>2</w:t>
      </w:r>
      <w:proofErr w:type="gramEnd"/>
      <w:r>
        <w:t xml:space="preserve"> применяется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B12F92" w:rsidRDefault="00B12F92" w:rsidP="00B12F92">
      <w:pPr>
        <w:pStyle w:val="ConsPlusNormal"/>
        <w:ind w:firstLine="709"/>
        <w:jc w:val="both"/>
      </w:pPr>
      <w:r>
        <w:t>ювелирные изделия - К</w:t>
      </w:r>
      <w:proofErr w:type="gramStart"/>
      <w:r>
        <w:t>2</w:t>
      </w:r>
      <w:proofErr w:type="gramEnd"/>
      <w:r>
        <w:t xml:space="preserve"> - 1,0</w:t>
      </w:r>
    </w:p>
    <w:p w:rsidR="00B12F92" w:rsidRDefault="00B12F92" w:rsidP="00B12F92">
      <w:pPr>
        <w:pStyle w:val="ConsPlusNormal"/>
        <w:ind w:firstLine="709"/>
        <w:jc w:val="both"/>
      </w:pPr>
      <w:r>
        <w:t>компьютеры, программное обеспечение, периферийное устройство - К</w:t>
      </w:r>
      <w:proofErr w:type="gramStart"/>
      <w:r>
        <w:t>2</w:t>
      </w:r>
      <w:proofErr w:type="gramEnd"/>
      <w:r>
        <w:t xml:space="preserve"> - 1,0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02.06.2010 N 129)</w:t>
      </w:r>
    </w:p>
    <w:p w:rsidR="00B12F92" w:rsidRDefault="00B12F92" w:rsidP="00B12F92">
      <w:pPr>
        <w:pStyle w:val="ConsPlusNormal"/>
        <w:ind w:firstLine="709"/>
        <w:jc w:val="both"/>
      </w:pPr>
      <w:proofErr w:type="spellStart"/>
      <w:r>
        <w:t>телеради</w:t>
      </w:r>
      <w:proofErr w:type="gramStart"/>
      <w:r>
        <w:t>о</w:t>
      </w:r>
      <w:proofErr w:type="spellEnd"/>
      <w:r>
        <w:t>-</w:t>
      </w:r>
      <w:proofErr w:type="gramEnd"/>
      <w:r>
        <w:t>, видеоаппаратура, бытовая техника - К2 - 0,65</w:t>
      </w:r>
    </w:p>
    <w:p w:rsidR="00B12F92" w:rsidRDefault="00B12F92" w:rsidP="00B12F92">
      <w:pPr>
        <w:pStyle w:val="ConsPlusNormal"/>
        <w:ind w:firstLine="709"/>
        <w:jc w:val="both"/>
      </w:pPr>
      <w:r>
        <w:t>мебель, изделия из натурального меха, натуральной кожи - К</w:t>
      </w:r>
      <w:proofErr w:type="gramStart"/>
      <w:r>
        <w:t>2</w:t>
      </w:r>
      <w:proofErr w:type="gramEnd"/>
      <w:r>
        <w:t xml:space="preserve"> - 0,75</w:t>
      </w:r>
    </w:p>
    <w:p w:rsidR="00B12F92" w:rsidRDefault="00B12F92" w:rsidP="00B12F92">
      <w:pPr>
        <w:pStyle w:val="ConsPlusNormal"/>
        <w:ind w:firstLine="709"/>
        <w:jc w:val="both"/>
      </w:pPr>
      <w:r>
        <w:t>автозапчасти - К</w:t>
      </w:r>
      <w:proofErr w:type="gramStart"/>
      <w:r>
        <w:t>2</w:t>
      </w:r>
      <w:proofErr w:type="gramEnd"/>
      <w:r>
        <w:t xml:space="preserve"> - 0,35</w:t>
      </w:r>
    </w:p>
    <w:p w:rsidR="00B12F92" w:rsidRDefault="00B12F92" w:rsidP="00B12F92">
      <w:pPr>
        <w:pStyle w:val="ConsPlusNormal"/>
        <w:ind w:firstLine="709"/>
        <w:jc w:val="both"/>
      </w:pPr>
      <w:r>
        <w:t>строительные материалы - К</w:t>
      </w:r>
      <w:proofErr w:type="gramStart"/>
      <w:r>
        <w:t>2</w:t>
      </w:r>
      <w:proofErr w:type="gramEnd"/>
      <w:r>
        <w:t xml:space="preserve"> - 0,32</w:t>
      </w:r>
    </w:p>
    <w:p w:rsidR="00B12F92" w:rsidRDefault="00B12F92" w:rsidP="00B12F92">
      <w:pPr>
        <w:pStyle w:val="ConsPlusNormal"/>
        <w:ind w:firstLine="709"/>
        <w:jc w:val="both"/>
      </w:pPr>
      <w:r>
        <w:t>сотовые телефоны - К</w:t>
      </w:r>
      <w:proofErr w:type="gramStart"/>
      <w:r>
        <w:t>2</w:t>
      </w:r>
      <w:proofErr w:type="gramEnd"/>
      <w:r>
        <w:t xml:space="preserve"> - 0,35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(абзац введен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02.06.2010 N 129)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(п. 3.1 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27.02.2006 N 217)</w:t>
      </w:r>
    </w:p>
    <w:p w:rsidR="00984DBF" w:rsidRDefault="00B12F92" w:rsidP="00B12F92">
      <w:pPr>
        <w:pStyle w:val="ConsPlusNormal"/>
        <w:ind w:firstLine="709"/>
        <w:jc w:val="both"/>
      </w:pPr>
      <w:r>
        <w:t>3.2. Алкогольная продукция, пиво, табачные изделия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794"/>
        <w:gridCol w:w="737"/>
        <w:gridCol w:w="907"/>
      </w:tblGrid>
      <w:tr w:rsidR="00984DBF"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Группы населенных пунктов</w:t>
            </w:r>
          </w:p>
        </w:tc>
      </w:tr>
      <w:tr w:rsidR="00984DBF"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IV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0,20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4 до 6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0,22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lastRenderedPageBreak/>
              <w:t>Площадью от 2 до 4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0,23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Площадью до 2 кв. м включительно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0,25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ind w:firstLine="540"/>
        <w:jc w:val="both"/>
      </w:pPr>
      <w:bookmarkStart w:id="2" w:name="P131"/>
      <w:bookmarkEnd w:id="2"/>
      <w:r>
        <w:t>3.3. Продовольственные товары, изделия народных художественных промыслов, предметы культа и религиозного назначения, книжная продукция и периодические издания, а также иные товары (при условии, что доходы от реализации иных товаров составляют не более 30 процентов от общего товарооборота).</w:t>
      </w:r>
    </w:p>
    <w:p w:rsidR="00984DBF" w:rsidRDefault="00984DBF">
      <w:pPr>
        <w:pStyle w:val="ConsPlusNormal"/>
        <w:jc w:val="both"/>
      </w:pPr>
      <w:r>
        <w:t>(в ред</w:t>
      </w:r>
      <w:r w:rsidR="00B12F92" w:rsidRPr="00B12F92">
        <w:t>. решения</w:t>
      </w:r>
      <w:r>
        <w:t xml:space="preserve"> Земского Собрания </w:t>
      </w:r>
      <w:proofErr w:type="spellStart"/>
      <w:r>
        <w:t>Куединского</w:t>
      </w:r>
      <w:proofErr w:type="spellEnd"/>
      <w:r>
        <w:t xml:space="preserve"> района от 06.12.2005 N 189)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794"/>
        <w:gridCol w:w="737"/>
        <w:gridCol w:w="907"/>
      </w:tblGrid>
      <w:tr w:rsidR="00984DBF"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Группы населенных пунктов</w:t>
            </w:r>
          </w:p>
        </w:tc>
      </w:tr>
      <w:tr w:rsidR="00984DBF"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IV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0,03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0,03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0,04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4 до 6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2 до 4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0,06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Площадью до 2 кв. м включительно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0,07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ind w:firstLine="540"/>
        <w:jc w:val="both"/>
      </w:pPr>
      <w:bookmarkStart w:id="3" w:name="P171"/>
      <w:bookmarkEnd w:id="3"/>
      <w:r>
        <w:t>3.4. Прочие виды товаров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794"/>
        <w:gridCol w:w="737"/>
        <w:gridCol w:w="907"/>
      </w:tblGrid>
      <w:tr w:rsidR="00984DBF"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Группы населенных пунктов</w:t>
            </w:r>
          </w:p>
        </w:tc>
      </w:tr>
      <w:tr w:rsidR="00984DBF"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IV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4 до 6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2 до 4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Площадью до 2 кв. м включительно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ind w:firstLine="540"/>
        <w:jc w:val="both"/>
      </w:pPr>
      <w:bookmarkStart w:id="4" w:name="P210"/>
      <w:bookmarkEnd w:id="4"/>
      <w:r>
        <w:t>3.5. Смешанный ассортимент (реализация в одном торговом месте нескольких видов товаров, для которых установлены различные коэффициенты К</w:t>
      </w:r>
      <w:proofErr w:type="gramStart"/>
      <w:r>
        <w:t>2</w:t>
      </w:r>
      <w:proofErr w:type="gramEnd"/>
      <w:r>
        <w:t xml:space="preserve"> (в графе одного уровня </w:t>
      </w:r>
      <w:r w:rsidR="00B12F92" w:rsidRPr="00B12F92">
        <w:t xml:space="preserve">доходности) при условии, что доходы от реализации товарных групп, перечисленных в пунктах 3.1, 3.2, 3.3, составляют </w:t>
      </w:r>
      <w:r>
        <w:t>не более 40 процентов от общего товарооборота).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794"/>
        <w:gridCol w:w="737"/>
        <w:gridCol w:w="907"/>
      </w:tblGrid>
      <w:tr w:rsidR="00984DBF"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Группы населенных пунктов</w:t>
            </w:r>
          </w:p>
        </w:tc>
      </w:tr>
      <w:tr w:rsidR="00984DBF"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IV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0,14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lastRenderedPageBreak/>
              <w:t>Площадью от 50 до 100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4 до 6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2 до 4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0,17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Площадью до 2 кв. м включительно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0,19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ind w:firstLine="540"/>
        <w:jc w:val="both"/>
      </w:pPr>
      <w:r>
        <w:t>Если в объекте розничной торговли осуществляется продажа нескольких групп товаров, применяется корректирующий коэффициент по смешанному ассортименту товаров. При этом</w:t>
      </w:r>
      <w:proofErr w:type="gramStart"/>
      <w:r>
        <w:t>,</w:t>
      </w:r>
      <w:proofErr w:type="gramEnd"/>
      <w:r>
        <w:t xml:space="preserve"> если значение корректирующего коэффициента по смешанному ассортименту меньше, чем значение корректирующего коэффициента по какой-либо реализуемой группе товаров, то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984DBF" w:rsidRDefault="00984DBF">
      <w:pPr>
        <w:pStyle w:val="ConsPlusNormal"/>
        <w:jc w:val="both"/>
      </w:pPr>
      <w:r>
        <w:t xml:space="preserve">(в </w:t>
      </w:r>
      <w:r w:rsidR="00B12F92" w:rsidRPr="00B12F92">
        <w:t xml:space="preserve">ред. решения </w:t>
      </w:r>
      <w:r>
        <w:t xml:space="preserve">Земского Собрания </w:t>
      </w:r>
      <w:proofErr w:type="spellStart"/>
      <w:r>
        <w:t>Куединского</w:t>
      </w:r>
      <w:proofErr w:type="spellEnd"/>
      <w:r>
        <w:t xml:space="preserve"> района от 09.11.2012 N 362)</w:t>
      </w:r>
    </w:p>
    <w:p w:rsidR="00984DBF" w:rsidRDefault="00984DBF">
      <w:pPr>
        <w:pStyle w:val="ConsPlusNormal"/>
        <w:spacing w:before="220"/>
        <w:ind w:firstLine="540"/>
        <w:jc w:val="both"/>
      </w:pPr>
      <w:bookmarkStart w:id="5" w:name="P251"/>
      <w:bookmarkEnd w:id="5"/>
      <w:r>
        <w:t>3.6. 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0,01, в населенных пунктах численностью от 301 до 500 человек для расчета единого налога применяют значение коэффициента К2, равное 0,07.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Данные значения коэффициента К</w:t>
      </w:r>
      <w:proofErr w:type="gramStart"/>
      <w:r>
        <w:t>2</w:t>
      </w:r>
      <w:proofErr w:type="gramEnd"/>
      <w:r>
        <w:t xml:space="preserve"> налогоплательщики применяют в отношении объектов организации торговли, находящихся в соответствующих населенных пунктах.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3.7.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сети: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1474"/>
        <w:gridCol w:w="1531"/>
      </w:tblGrid>
      <w:tr w:rsidR="00984DBF">
        <w:tc>
          <w:tcPr>
            <w:tcW w:w="60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984DBF">
        <w:tc>
          <w:tcPr>
            <w:tcW w:w="60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/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 группа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 группа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Продовольственные товары: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0,54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0,40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Прочие виды товаров: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1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0,53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Лекарственные средства и изделия медицинского назначения: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0,30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0,30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jc w:val="both"/>
      </w:pPr>
      <w:r>
        <w:t xml:space="preserve">(таблица в </w:t>
      </w:r>
      <w:r w:rsidR="00B12F92" w:rsidRPr="00B12F92">
        <w:t xml:space="preserve">ред. решения </w:t>
      </w:r>
      <w:r>
        <w:t xml:space="preserve">Земского Собрания </w:t>
      </w:r>
      <w:proofErr w:type="spellStart"/>
      <w:r>
        <w:t>Куединского</w:t>
      </w:r>
      <w:proofErr w:type="spellEnd"/>
      <w:r>
        <w:t xml:space="preserve"> района от 06.12.2005 N 189)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К первой группе налогоплательщиков относятся организации и индивидуальные предприниматели, находящиеся и осуществляющие свою деятельность в поселке Куеда.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lastRenderedPageBreak/>
        <w:t xml:space="preserve">Ко второй группе налогоплательщиков относятся организации и индивидуальные предприниматели, находящиеся и осуществляющие деятельность в прочих населенных пунктах </w:t>
      </w:r>
      <w:proofErr w:type="spellStart"/>
      <w:r>
        <w:t>Куединского</w:t>
      </w:r>
      <w:proofErr w:type="spellEnd"/>
      <w:r>
        <w:t xml:space="preserve"> района.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3.8.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меховыми изделиями и технически сложными товарами бытового назначения), применяется в размере 1.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3.9.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 в сфере оказания бытовых и ветеринарных услуг: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984DBF">
        <w:tc>
          <w:tcPr>
            <w:tcW w:w="7370" w:type="dxa"/>
          </w:tcPr>
          <w:p w:rsidR="00984DBF" w:rsidRDefault="00984DBF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0,5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0,5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0,6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Услуги фотоателье и фотолабораторий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0,65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Услуги бань и душевых. Услуги по прокату. Ритуальные, обрядовые услуги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0,1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0,45</w:t>
            </w:r>
          </w:p>
        </w:tc>
      </w:tr>
      <w:tr w:rsidR="00984DBF">
        <w:tc>
          <w:tcPr>
            <w:tcW w:w="7370" w:type="dxa"/>
          </w:tcPr>
          <w:p w:rsidR="00984DBF" w:rsidRDefault="00984DBF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701" w:type="dxa"/>
          </w:tcPr>
          <w:p w:rsidR="00984DBF" w:rsidRDefault="00984DBF">
            <w:pPr>
              <w:pStyle w:val="ConsPlusNormal"/>
              <w:jc w:val="center"/>
            </w:pPr>
            <w:r>
              <w:t>0,1</w:t>
            </w:r>
          </w:p>
        </w:tc>
      </w:tr>
    </w:tbl>
    <w:p w:rsidR="00984DBF" w:rsidRDefault="00984DBF">
      <w:pPr>
        <w:pStyle w:val="ConsPlusNormal"/>
        <w:jc w:val="both"/>
      </w:pPr>
    </w:p>
    <w:p w:rsidR="00B12F92" w:rsidRDefault="00B12F92" w:rsidP="00B12F92">
      <w:pPr>
        <w:pStyle w:val="ConsPlusNormal"/>
        <w:ind w:firstLine="709"/>
        <w:jc w:val="both"/>
      </w:pPr>
      <w:r>
        <w:t xml:space="preserve">(п. 3.9 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23.12.2016 N 200)</w:t>
      </w:r>
    </w:p>
    <w:p w:rsidR="00B12F92" w:rsidRDefault="00B12F92" w:rsidP="00B12F92">
      <w:pPr>
        <w:pStyle w:val="ConsPlusNormal"/>
        <w:ind w:firstLine="709"/>
        <w:jc w:val="both"/>
      </w:pPr>
      <w:r>
        <w:t>3.10.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автотранспортных услуг по перевозке грузов" применяется в размере 1.</w:t>
      </w:r>
    </w:p>
    <w:p w:rsidR="00B12F92" w:rsidRDefault="00B12F92" w:rsidP="00B12F92">
      <w:pPr>
        <w:pStyle w:val="ConsPlusNormal"/>
        <w:ind w:firstLine="709"/>
        <w:jc w:val="both"/>
      </w:pPr>
      <w:r>
        <w:t>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автотранспортных услуг по перевозке пассажиров" применяется в размере 0,18.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(п. 3.10 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17.10.2007 N 398)</w:t>
      </w:r>
    </w:p>
    <w:p w:rsidR="00984DBF" w:rsidRDefault="00B12F92" w:rsidP="00B12F92">
      <w:pPr>
        <w:pStyle w:val="ConsPlusNormal"/>
        <w:ind w:firstLine="709"/>
        <w:jc w:val="both"/>
      </w:pPr>
      <w:r>
        <w:t>3.11.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по ремонту, техническому обслуживанию и мойке автотранспортных средств":</w:t>
      </w:r>
    </w:p>
    <w:p w:rsidR="00B12F92" w:rsidRDefault="00B12F92" w:rsidP="00B12F92">
      <w:pPr>
        <w:pStyle w:val="ConsPlusNormal"/>
        <w:ind w:firstLine="709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31"/>
      </w:tblGrid>
      <w:tr w:rsidR="00984DBF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Группа населенных пунктов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Значения К</w:t>
            </w:r>
            <w:proofErr w:type="gramStart"/>
            <w:r>
              <w:t>2</w:t>
            </w:r>
            <w:proofErr w:type="gramEnd"/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1-я группа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1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lastRenderedPageBreak/>
              <w:t>2-я группа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3-я группа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0,25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4-я группа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0,1</w:t>
            </w:r>
          </w:p>
        </w:tc>
      </w:tr>
    </w:tbl>
    <w:p w:rsidR="00984DBF" w:rsidRDefault="00984DBF">
      <w:pPr>
        <w:pStyle w:val="ConsPlusNormal"/>
        <w:jc w:val="both"/>
      </w:pPr>
    </w:p>
    <w:p w:rsidR="00B12F92" w:rsidRDefault="00984DBF" w:rsidP="00B12F92">
      <w:pPr>
        <w:pStyle w:val="ConsPlusNormal"/>
        <w:ind w:firstLine="709"/>
        <w:jc w:val="both"/>
      </w:pPr>
      <w:r>
        <w:t>(п</w:t>
      </w:r>
      <w:r w:rsidR="00B12F92">
        <w:t xml:space="preserve">. 3.11 в ред. решения Земского Собрания </w:t>
      </w:r>
      <w:proofErr w:type="spellStart"/>
      <w:r w:rsidR="00B12F92">
        <w:t>Куединского</w:t>
      </w:r>
      <w:proofErr w:type="spellEnd"/>
      <w:r w:rsidR="00B12F92">
        <w:t xml:space="preserve"> района от 02.06.2010 N 129)</w:t>
      </w:r>
    </w:p>
    <w:p w:rsidR="00B12F92" w:rsidRDefault="00B12F92" w:rsidP="00B12F92">
      <w:pPr>
        <w:pStyle w:val="ConsPlusNormal"/>
        <w:ind w:firstLine="709"/>
        <w:jc w:val="both"/>
      </w:pPr>
      <w:r>
        <w:t>3.12. Значения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автостоянок)":</w:t>
      </w:r>
    </w:p>
    <w:p w:rsidR="00B12F92" w:rsidRDefault="00B12F92" w:rsidP="00B12F92">
      <w:pPr>
        <w:pStyle w:val="ConsPlusNormal"/>
        <w:ind w:firstLine="709"/>
        <w:jc w:val="both"/>
      </w:pPr>
      <w:proofErr w:type="gramStart"/>
      <w:r>
        <w:t xml:space="preserve">(в ред. решения </w:t>
      </w:r>
      <w:proofErr w:type="spellStart"/>
      <w:r>
        <w:t>Земског</w:t>
      </w:r>
      <w:proofErr w:type="spellEnd"/>
      <w:proofErr w:type="gramEnd"/>
    </w:p>
    <w:p w:rsidR="00984DBF" w:rsidRDefault="00984DBF" w:rsidP="00B12F92">
      <w:pPr>
        <w:pStyle w:val="ConsPlusNormal"/>
        <w:ind w:firstLine="709"/>
        <w:jc w:val="both"/>
      </w:pPr>
      <w:r>
        <w:t xml:space="preserve">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1984"/>
      </w:tblGrid>
      <w:tr w:rsidR="00984DBF">
        <w:tc>
          <w:tcPr>
            <w:tcW w:w="6860" w:type="dxa"/>
          </w:tcPr>
          <w:p w:rsidR="00984DBF" w:rsidRDefault="00984DBF">
            <w:pPr>
              <w:pStyle w:val="ConsPlusNormal"/>
              <w:jc w:val="center"/>
            </w:pPr>
            <w:r>
              <w:t>Типы стоянок</w:t>
            </w:r>
          </w:p>
        </w:tc>
        <w:tc>
          <w:tcPr>
            <w:tcW w:w="1984" w:type="dxa"/>
          </w:tcPr>
          <w:p w:rsidR="00984DBF" w:rsidRDefault="00984DBF">
            <w:pPr>
              <w:pStyle w:val="ConsPlusNormal"/>
              <w:jc w:val="center"/>
            </w:pPr>
            <w:r>
              <w:t>Значения корректирующего коэффициента</w:t>
            </w:r>
          </w:p>
        </w:tc>
      </w:tr>
      <w:tr w:rsidR="00984DBF">
        <w:tc>
          <w:tcPr>
            <w:tcW w:w="6860" w:type="dxa"/>
          </w:tcPr>
          <w:p w:rsidR="00984DBF" w:rsidRDefault="00984DBF">
            <w:pPr>
              <w:pStyle w:val="ConsPlusNormal"/>
            </w:pPr>
            <w:r>
              <w:t>1. Стоянки открытого типа площадью до 600 кв. м включительно</w:t>
            </w:r>
          </w:p>
        </w:tc>
        <w:tc>
          <w:tcPr>
            <w:tcW w:w="1984" w:type="dxa"/>
          </w:tcPr>
          <w:p w:rsidR="00984DBF" w:rsidRDefault="00984DBF">
            <w:pPr>
              <w:pStyle w:val="ConsPlusNormal"/>
              <w:jc w:val="center"/>
            </w:pPr>
            <w:r>
              <w:t>0,16</w:t>
            </w:r>
          </w:p>
        </w:tc>
      </w:tr>
      <w:tr w:rsidR="00984DBF">
        <w:tc>
          <w:tcPr>
            <w:tcW w:w="6860" w:type="dxa"/>
          </w:tcPr>
          <w:p w:rsidR="00984DBF" w:rsidRDefault="00984DBF">
            <w:pPr>
              <w:pStyle w:val="ConsPlusNormal"/>
            </w:pPr>
            <w:r>
              <w:t>2. Стоянки открытого типа площадью от 600 до 1500 кв. м включительно</w:t>
            </w:r>
          </w:p>
        </w:tc>
        <w:tc>
          <w:tcPr>
            <w:tcW w:w="1984" w:type="dxa"/>
          </w:tcPr>
          <w:p w:rsidR="00984DBF" w:rsidRDefault="00984DBF">
            <w:pPr>
              <w:pStyle w:val="ConsPlusNormal"/>
              <w:jc w:val="center"/>
            </w:pPr>
            <w:r>
              <w:t>0,35</w:t>
            </w:r>
          </w:p>
        </w:tc>
      </w:tr>
      <w:tr w:rsidR="00984DBF">
        <w:tc>
          <w:tcPr>
            <w:tcW w:w="6860" w:type="dxa"/>
          </w:tcPr>
          <w:p w:rsidR="00984DBF" w:rsidRDefault="00984DBF">
            <w:pPr>
              <w:pStyle w:val="ConsPlusNormal"/>
            </w:pPr>
            <w:r>
              <w:t>3. Стоянки открытого типа площадью свыше 1500 кв. м</w:t>
            </w:r>
          </w:p>
        </w:tc>
        <w:tc>
          <w:tcPr>
            <w:tcW w:w="1984" w:type="dxa"/>
          </w:tcPr>
          <w:p w:rsidR="00984DBF" w:rsidRDefault="00984DBF">
            <w:pPr>
              <w:pStyle w:val="ConsPlusNormal"/>
              <w:jc w:val="center"/>
            </w:pPr>
            <w:r>
              <w:t>0,25</w:t>
            </w:r>
          </w:p>
        </w:tc>
      </w:tr>
      <w:tr w:rsidR="00984DBF">
        <w:tc>
          <w:tcPr>
            <w:tcW w:w="6860" w:type="dxa"/>
          </w:tcPr>
          <w:p w:rsidR="00984DBF" w:rsidRDefault="00984DBF">
            <w:pPr>
              <w:pStyle w:val="ConsPlusNormal"/>
            </w:pPr>
            <w:r>
              <w:t>4. Стоянки закрытого типа</w:t>
            </w:r>
          </w:p>
        </w:tc>
        <w:tc>
          <w:tcPr>
            <w:tcW w:w="1984" w:type="dxa"/>
          </w:tcPr>
          <w:p w:rsidR="00984DBF" w:rsidRDefault="00984DBF">
            <w:pPr>
              <w:pStyle w:val="ConsPlusNormal"/>
              <w:jc w:val="center"/>
            </w:pPr>
            <w:r>
              <w:t>0,05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jc w:val="both"/>
      </w:pPr>
      <w:r>
        <w:t>(п. 3.</w:t>
      </w:r>
      <w:r w:rsidR="00B12F92" w:rsidRPr="00B12F92">
        <w:t xml:space="preserve"> 12 в ред. решения </w:t>
      </w:r>
      <w:r>
        <w:t xml:space="preserve"> Земского Собрания </w:t>
      </w:r>
      <w:proofErr w:type="spellStart"/>
      <w:r>
        <w:t>Куединского</w:t>
      </w:r>
      <w:proofErr w:type="spellEnd"/>
      <w:r>
        <w:t xml:space="preserve"> района от 17.07.2007 N 381)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3.13.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 в сфере оказания бытовых и ветеринарных услуг: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386"/>
        <w:gridCol w:w="1134"/>
      </w:tblGrid>
      <w:tr w:rsidR="00984DBF">
        <w:tc>
          <w:tcPr>
            <w:tcW w:w="2551" w:type="dxa"/>
          </w:tcPr>
          <w:p w:rsidR="00984DBF" w:rsidRDefault="00984DBF" w:rsidP="00B12F92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r w:rsidR="00B12F92" w:rsidRPr="00B12F92">
              <w:t>классификатором</w:t>
            </w:r>
            <w:r w:rsidR="00B12F92">
              <w:t xml:space="preserve"> </w:t>
            </w:r>
            <w:r>
              <w:t>услуг для населения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011000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012000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013000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0,5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014000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0,5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015000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016000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0,6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lastRenderedPageBreak/>
              <w:t>018000</w:t>
            </w:r>
          </w:p>
          <w:p w:rsidR="00984DBF" w:rsidRDefault="00984DBF">
            <w:pPr>
              <w:pStyle w:val="ConsPlusNormal"/>
              <w:jc w:val="center"/>
            </w:pPr>
            <w:r>
              <w:t>(018100-018125)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Услуги фотоателье и фотолабораторий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0,65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019000</w:t>
            </w:r>
          </w:p>
          <w:p w:rsidR="00984DBF" w:rsidRDefault="00984DBF">
            <w:pPr>
              <w:pStyle w:val="ConsPlusNormal"/>
              <w:jc w:val="center"/>
            </w:pPr>
            <w:r>
              <w:t>(кроме 019301-019337)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Услуги бань и душевых. Услуги по прокату. Ритуальные, обрядовые услуги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0,1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019300</w:t>
            </w:r>
          </w:p>
          <w:p w:rsidR="00984DBF" w:rsidRDefault="00984DBF">
            <w:pPr>
              <w:pStyle w:val="ConsPlusNormal"/>
              <w:jc w:val="center"/>
            </w:pPr>
            <w:r>
              <w:t>(019301-019337)</w:t>
            </w:r>
          </w:p>
        </w:tc>
        <w:tc>
          <w:tcPr>
            <w:tcW w:w="5386" w:type="dxa"/>
          </w:tcPr>
          <w:p w:rsidR="00984DBF" w:rsidRDefault="00984DBF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0,45</w:t>
            </w:r>
          </w:p>
        </w:tc>
      </w:tr>
      <w:tr w:rsidR="00984DBF">
        <w:tc>
          <w:tcPr>
            <w:tcW w:w="2551" w:type="dxa"/>
          </w:tcPr>
          <w:p w:rsidR="00984DBF" w:rsidRDefault="00984DBF">
            <w:pPr>
              <w:pStyle w:val="ConsPlusNormal"/>
              <w:jc w:val="center"/>
            </w:pPr>
            <w:r>
              <w:t>083000</w:t>
            </w:r>
          </w:p>
          <w:p w:rsidR="00984DBF" w:rsidRDefault="00984DBF">
            <w:pPr>
              <w:pStyle w:val="ConsPlusNormal"/>
              <w:jc w:val="center"/>
            </w:pPr>
            <w:r>
              <w:t>(083100-083109)</w:t>
            </w:r>
          </w:p>
        </w:tc>
        <w:tc>
          <w:tcPr>
            <w:tcW w:w="5386" w:type="dxa"/>
          </w:tcPr>
          <w:p w:rsidR="00984DBF" w:rsidRDefault="00984DBF" w:rsidP="00B12F92">
            <w:pPr>
              <w:pStyle w:val="ConsPlusNormal"/>
            </w:pPr>
            <w:r>
              <w:t xml:space="preserve">Оказание ветеринарных услуг (услуги, оплачиваемые физическими лицами и организациями по перечню услуг, предусмотренному нормативными правовыми актами РФ, а также Общероссийским </w:t>
            </w:r>
            <w:r w:rsidR="00B12F92" w:rsidRPr="00B12F92">
              <w:t>классификатором</w:t>
            </w:r>
            <w:r w:rsidR="00B12F92">
              <w:t xml:space="preserve"> </w:t>
            </w:r>
            <w:r>
              <w:t>услуг населению)</w:t>
            </w:r>
          </w:p>
        </w:tc>
        <w:tc>
          <w:tcPr>
            <w:tcW w:w="1134" w:type="dxa"/>
          </w:tcPr>
          <w:p w:rsidR="00984DBF" w:rsidRDefault="00984DBF">
            <w:pPr>
              <w:pStyle w:val="ConsPlusNormal"/>
              <w:jc w:val="center"/>
            </w:pPr>
            <w:r>
              <w:t>0,1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ind w:firstLine="540"/>
        <w:jc w:val="both"/>
      </w:pPr>
      <w:r>
        <w:t>3.14. Организации и предприниматели, осуществляющие предпринимательскую деятельность в сфере оказания бытовых и (или) ветеринарных услуг, перечисленных в пункте 9, на территории сельских населенных пунктов коэффициент К</w:t>
      </w:r>
      <w:proofErr w:type="gramStart"/>
      <w:r>
        <w:t>2</w:t>
      </w:r>
      <w:proofErr w:type="gramEnd"/>
      <w:r>
        <w:t xml:space="preserve"> уменьшается в 2 раза. Данное значение коэффициента К</w:t>
      </w:r>
      <w:proofErr w:type="gramStart"/>
      <w:r>
        <w:t>2</w:t>
      </w:r>
      <w:proofErr w:type="gramEnd"/>
      <w:r>
        <w:t xml:space="preserve"> налогоплательщики применяют в отношении объектов организации предоставления бытовых услуг, расположенных в сельских населенных пунктах (кроме поселка Куеда).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3.15. Организации и предприниматели, осуществляющие предпринимательскую деятельность в сфере оказания услуг по временному размещению и проживанию, коэффициент К</w:t>
      </w:r>
      <w:proofErr w:type="gramStart"/>
      <w:r>
        <w:t>2</w:t>
      </w:r>
      <w:proofErr w:type="gramEnd"/>
      <w:r>
        <w:t xml:space="preserve"> устанавливается равным 0,16.</w:t>
      </w:r>
    </w:p>
    <w:p w:rsidR="00B12F92" w:rsidRDefault="00B12F92" w:rsidP="00B12F92">
      <w:pPr>
        <w:pStyle w:val="ConsPlusNormal"/>
        <w:jc w:val="both"/>
      </w:pPr>
      <w:r>
        <w:t xml:space="preserve">(п. 3.15 в ред. решения Земского Собрания </w:t>
      </w:r>
      <w:proofErr w:type="spellStart"/>
      <w:r>
        <w:t>Куединского</w:t>
      </w:r>
      <w:proofErr w:type="spellEnd"/>
      <w:r>
        <w:t xml:space="preserve"> района от 17.07.2007 N 381)</w:t>
      </w:r>
    </w:p>
    <w:p w:rsidR="00B12F92" w:rsidRDefault="00B12F92" w:rsidP="00B12F92">
      <w:pPr>
        <w:pStyle w:val="ConsPlusNormal"/>
        <w:jc w:val="both"/>
      </w:pPr>
      <w:r>
        <w:t>3.16. Организации и предприниматели, осуществляющие предпринимательскую деятельность в сфере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коэффициент К</w:t>
      </w:r>
      <w:proofErr w:type="gramStart"/>
      <w:r>
        <w:t>2</w:t>
      </w:r>
      <w:proofErr w:type="gramEnd"/>
      <w:r>
        <w:t xml:space="preserve"> устанавливается равный 0,5.</w:t>
      </w:r>
    </w:p>
    <w:p w:rsidR="00984DBF" w:rsidRDefault="00B12F92" w:rsidP="00B12F92">
      <w:pPr>
        <w:pStyle w:val="ConsPlusNormal"/>
        <w:jc w:val="both"/>
      </w:pPr>
      <w:r>
        <w:t xml:space="preserve">(п. 3.16 в ред. решения Земского </w:t>
      </w:r>
      <w:r w:rsidR="00984DBF">
        <w:t xml:space="preserve">Собрания </w:t>
      </w:r>
      <w:proofErr w:type="spellStart"/>
      <w:r w:rsidR="00984DBF">
        <w:t>Куединского</w:t>
      </w:r>
      <w:proofErr w:type="spellEnd"/>
      <w:r w:rsidR="00984DBF">
        <w:t xml:space="preserve"> района от 29.06.2009 N 32)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3.17. Таблица корректирующего коэффициента К</w:t>
      </w:r>
      <w:proofErr w:type="gramStart"/>
      <w:r>
        <w:t>2</w:t>
      </w:r>
      <w:proofErr w:type="gramEnd"/>
      <w:r>
        <w:t xml:space="preserve"> в отношении организаций почтовой связи, осуществляющих реализацию периодических изданий, книжной продукции, а также сопутствующих товаров (при условии, что доходы от реализации сопутствующих товаров составляют не более 30 процентов от общего товарооборота):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474"/>
      </w:tblGrid>
      <w:tr w:rsidR="00984DBF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Значения К</w:t>
            </w:r>
            <w:proofErr w:type="gramStart"/>
            <w:r>
              <w:t>2</w:t>
            </w:r>
            <w:proofErr w:type="gramEnd"/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both"/>
            </w:pPr>
            <w:r>
              <w:t>1-я группа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both"/>
            </w:pPr>
            <w:r>
              <w:t>2-я группа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0,3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both"/>
            </w:pPr>
            <w:r>
              <w:t>3-я группа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</w:tr>
    </w:tbl>
    <w:p w:rsidR="00984DBF" w:rsidRDefault="00984DBF">
      <w:pPr>
        <w:pStyle w:val="ConsPlusNormal"/>
        <w:jc w:val="both"/>
      </w:pPr>
    </w:p>
    <w:p w:rsidR="00984DBF" w:rsidRDefault="00984DBF">
      <w:pPr>
        <w:pStyle w:val="ConsPlusNormal"/>
        <w:ind w:firstLine="540"/>
        <w:jc w:val="both"/>
      </w:pPr>
      <w:r>
        <w:t>К первой группе относятся стационарные торговые точки, находящиеся в черте поселка Куеда;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ко второй группе - административные центры сельских поселений района;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к третьей группе относятся прочие населенные пункты района.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 xml:space="preserve">При реализации книжной продукции и периодических печатных изданий сопутствующими </w:t>
      </w:r>
      <w:r>
        <w:lastRenderedPageBreak/>
        <w:t>товарами являются изделия из бумаги и картона, печатные издания, галантерея (металлическая, кожаная, пластмассовая),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I группа населенных пунктов: поселок Куеда;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 xml:space="preserve">II группа: деревни </w:t>
      </w:r>
      <w:proofErr w:type="spellStart"/>
      <w:r>
        <w:t>Бадашка</w:t>
      </w:r>
      <w:proofErr w:type="spellEnd"/>
      <w:r>
        <w:t xml:space="preserve">, </w:t>
      </w:r>
      <w:proofErr w:type="spellStart"/>
      <w:r>
        <w:t>Маныш</w:t>
      </w:r>
      <w:proofErr w:type="spellEnd"/>
      <w:r>
        <w:t xml:space="preserve">, </w:t>
      </w:r>
      <w:proofErr w:type="spellStart"/>
      <w:r>
        <w:t>Солодовка</w:t>
      </w:r>
      <w:proofErr w:type="spellEnd"/>
      <w:r>
        <w:t xml:space="preserve">, </w:t>
      </w:r>
      <w:proofErr w:type="spellStart"/>
      <w:r>
        <w:t>Трегубовка</w:t>
      </w:r>
      <w:proofErr w:type="spellEnd"/>
      <w:r>
        <w:t xml:space="preserve">, Куеда, </w:t>
      </w:r>
      <w:proofErr w:type="spellStart"/>
      <w:r>
        <w:t>Урталга</w:t>
      </w:r>
      <w:proofErr w:type="spellEnd"/>
      <w:r>
        <w:t xml:space="preserve">, </w:t>
      </w:r>
      <w:proofErr w:type="spellStart"/>
      <w:r>
        <w:t>Арей</w:t>
      </w:r>
      <w:proofErr w:type="spellEnd"/>
      <w:r>
        <w:t xml:space="preserve">, Никольское Раздолье, </w:t>
      </w:r>
      <w:proofErr w:type="spellStart"/>
      <w:r>
        <w:t>Краснояр</w:t>
      </w:r>
      <w:proofErr w:type="spellEnd"/>
      <w:r>
        <w:t xml:space="preserve">, Горюшка, Малая </w:t>
      </w:r>
      <w:proofErr w:type="spellStart"/>
      <w:r>
        <w:t>Тапья</w:t>
      </w:r>
      <w:proofErr w:type="spellEnd"/>
      <w:r>
        <w:t>;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III группа: административные центры сельских поселений (</w:t>
      </w:r>
      <w:proofErr w:type="spellStart"/>
      <w:r>
        <w:t>Б.Гондыр</w:t>
      </w:r>
      <w:proofErr w:type="spellEnd"/>
      <w:r>
        <w:t xml:space="preserve">, 3-й </w:t>
      </w:r>
      <w:proofErr w:type="spellStart"/>
      <w:r>
        <w:t>Госконезавод</w:t>
      </w:r>
      <w:proofErr w:type="spellEnd"/>
      <w:r>
        <w:t xml:space="preserve">, </w:t>
      </w:r>
      <w:proofErr w:type="spellStart"/>
      <w:r>
        <w:t>Б.Кусты</w:t>
      </w:r>
      <w:proofErr w:type="spellEnd"/>
      <w:r>
        <w:t xml:space="preserve">, </w:t>
      </w:r>
      <w:proofErr w:type="spellStart"/>
      <w:r>
        <w:t>Б.Уса</w:t>
      </w:r>
      <w:proofErr w:type="spellEnd"/>
      <w:r>
        <w:t xml:space="preserve">, Ошья, </w:t>
      </w:r>
      <w:proofErr w:type="gramStart"/>
      <w:r>
        <w:t>Старый</w:t>
      </w:r>
      <w:proofErr w:type="gramEnd"/>
      <w:r>
        <w:t xml:space="preserve"> </w:t>
      </w:r>
      <w:proofErr w:type="spellStart"/>
      <w:r>
        <w:t>Шагирт</w:t>
      </w:r>
      <w:proofErr w:type="spellEnd"/>
      <w:r>
        <w:t xml:space="preserve">, </w:t>
      </w:r>
      <w:proofErr w:type="spellStart"/>
      <w:r>
        <w:t>Б.Талмаз</w:t>
      </w:r>
      <w:proofErr w:type="spellEnd"/>
      <w:r>
        <w:t xml:space="preserve">, </w:t>
      </w:r>
      <w:proofErr w:type="spellStart"/>
      <w:r>
        <w:t>Федоровск</w:t>
      </w:r>
      <w:proofErr w:type="spellEnd"/>
      <w:r>
        <w:t xml:space="preserve">, </w:t>
      </w:r>
      <w:proofErr w:type="spellStart"/>
      <w:r>
        <w:t>Аряж</w:t>
      </w:r>
      <w:proofErr w:type="spellEnd"/>
      <w:r>
        <w:t xml:space="preserve">, </w:t>
      </w:r>
      <w:proofErr w:type="spellStart"/>
      <w:r>
        <w:t>Бикбарда</w:t>
      </w:r>
      <w:proofErr w:type="spellEnd"/>
      <w:r>
        <w:t>);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IV группа: прочие населенные пункты, не вошедшие в группы, I, II, III.</w:t>
      </w:r>
    </w:p>
    <w:p w:rsidR="00984DBF" w:rsidRDefault="00984DBF">
      <w:pPr>
        <w:pStyle w:val="ConsPlusNormal"/>
        <w:spacing w:before="220"/>
        <w:ind w:firstLine="540"/>
        <w:jc w:val="both"/>
      </w:pPr>
      <w:r>
        <w:t>3.18. Таблица корректирующего коэффициента К</w:t>
      </w:r>
      <w:proofErr w:type="gramStart"/>
      <w:r>
        <w:t>2</w:t>
      </w:r>
      <w:proofErr w:type="gramEnd"/>
      <w:r>
        <w:t xml:space="preserve"> в отношении реализации лекарственных средств и изделий медицинского назначения:</w:t>
      </w:r>
    </w:p>
    <w:p w:rsidR="00984DBF" w:rsidRDefault="00984D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737"/>
        <w:gridCol w:w="737"/>
        <w:gridCol w:w="794"/>
        <w:gridCol w:w="850"/>
      </w:tblGrid>
      <w:tr w:rsidR="00984DBF">
        <w:tc>
          <w:tcPr>
            <w:tcW w:w="4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Группы населенных пунктов</w:t>
            </w:r>
          </w:p>
        </w:tc>
      </w:tr>
      <w:tr w:rsidR="00984DBF">
        <w:tc>
          <w:tcPr>
            <w:tcW w:w="4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IV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100 до 150 кв. м включительно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0,10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50 до 100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0,10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</w:pPr>
            <w:r>
              <w:t>Площадью от 6 до 50 кв. м включительно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4DBF" w:rsidRDefault="00984DBF">
            <w:pPr>
              <w:pStyle w:val="ConsPlusNormal"/>
              <w:jc w:val="center"/>
            </w:pPr>
            <w:r>
              <w:t>0,10</w:t>
            </w:r>
          </w:p>
        </w:tc>
      </w:tr>
      <w:tr w:rsidR="00984DBF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</w:pPr>
            <w:r>
              <w:t>Площадью до 6 кв. м включительно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4DBF" w:rsidRDefault="00984DBF">
            <w:pPr>
              <w:pStyle w:val="ConsPlusNormal"/>
              <w:jc w:val="center"/>
            </w:pPr>
            <w:r>
              <w:t>0,10</w:t>
            </w:r>
          </w:p>
        </w:tc>
      </w:tr>
    </w:tbl>
    <w:p w:rsidR="00984DBF" w:rsidRDefault="00984DBF">
      <w:pPr>
        <w:pStyle w:val="ConsPlusNormal"/>
        <w:jc w:val="both"/>
      </w:pPr>
    </w:p>
    <w:p w:rsidR="00B12F92" w:rsidRDefault="00984DBF" w:rsidP="00B12F92">
      <w:pPr>
        <w:pStyle w:val="ConsPlusNormal"/>
        <w:ind w:firstLine="709"/>
        <w:jc w:val="both"/>
      </w:pPr>
      <w:r>
        <w:t>(п. 3.</w:t>
      </w:r>
      <w:r w:rsidR="00B12F92" w:rsidRPr="00B12F92">
        <w:t xml:space="preserve"> </w:t>
      </w:r>
      <w:r w:rsidR="00B12F92">
        <w:t xml:space="preserve">18 </w:t>
      </w:r>
      <w:proofErr w:type="gramStart"/>
      <w:r w:rsidR="00B12F92">
        <w:t>введен</w:t>
      </w:r>
      <w:proofErr w:type="gramEnd"/>
      <w:r w:rsidR="00B12F92">
        <w:t xml:space="preserve"> решением Земского Собрания </w:t>
      </w:r>
      <w:proofErr w:type="spellStart"/>
      <w:r w:rsidR="00B12F92">
        <w:t>Куединского</w:t>
      </w:r>
      <w:proofErr w:type="spellEnd"/>
      <w:r w:rsidR="00B12F92">
        <w:t xml:space="preserve"> района от 06.12.2005 N 189)</w:t>
      </w:r>
    </w:p>
    <w:p w:rsidR="00B12F92" w:rsidRDefault="00B12F92" w:rsidP="00B12F92">
      <w:pPr>
        <w:pStyle w:val="ConsPlusNormal"/>
        <w:ind w:firstLine="709"/>
        <w:jc w:val="both"/>
      </w:pPr>
      <w:r>
        <w:t>3.19. Организации и предприниматели, осуществляющие предпринимательскую деятельность в сфере распространения наружной рекламы с использованием рекламных конструкций, коэффициент К</w:t>
      </w:r>
      <w:proofErr w:type="gramStart"/>
      <w:r>
        <w:t>2</w:t>
      </w:r>
      <w:proofErr w:type="gramEnd"/>
      <w:r>
        <w:t xml:space="preserve"> устанавливается равный 1.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(п. 3.19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3.20. Организации и предприниматели, осуществляющие предпринимательскую деятельность в сфере размещения рекламы на транспортных средствах, коэффициент К</w:t>
      </w:r>
      <w:proofErr w:type="gramStart"/>
      <w:r>
        <w:t>2</w:t>
      </w:r>
      <w:proofErr w:type="gramEnd"/>
      <w:r>
        <w:t xml:space="preserve"> устанавливается равный 1.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(п. 3.20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3.21. Организации и предприниматели, осуществляющие предпринимательскую деятельность в сфере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коэффициент К</w:t>
      </w:r>
      <w:proofErr w:type="gramStart"/>
      <w:r>
        <w:t>2</w:t>
      </w:r>
      <w:proofErr w:type="gramEnd"/>
      <w:r>
        <w:t xml:space="preserve"> устанавливается равный 1.</w:t>
      </w:r>
    </w:p>
    <w:p w:rsidR="00B12F92" w:rsidRDefault="00B12F92" w:rsidP="00B12F92">
      <w:pPr>
        <w:pStyle w:val="ConsPlusNormal"/>
        <w:ind w:firstLine="709"/>
        <w:jc w:val="both"/>
      </w:pPr>
      <w:r>
        <w:t xml:space="preserve">(п. 3.21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Куединского</w:t>
      </w:r>
      <w:proofErr w:type="spellEnd"/>
      <w:r>
        <w:t xml:space="preserve"> района от 29.06.2009 N 32)</w:t>
      </w:r>
    </w:p>
    <w:p w:rsidR="00B12F92" w:rsidRDefault="00B12F92" w:rsidP="00B12F92">
      <w:pPr>
        <w:pStyle w:val="ConsPlusNormal"/>
        <w:ind w:firstLine="709"/>
        <w:jc w:val="both"/>
      </w:pPr>
      <w:r>
        <w:t>3.22. Для системы потребительской кооперации значения корректирующего коэффициента К</w:t>
      </w:r>
      <w:proofErr w:type="gramStart"/>
      <w:r>
        <w:t>2</w:t>
      </w:r>
      <w:proofErr w:type="gramEnd"/>
      <w:r>
        <w:t>, перечисленные в пунктах 3.1, 3.2, 3.3, 3.4, 3.5, 3.6, уменьшаются в 2 раза.</w:t>
      </w:r>
    </w:p>
    <w:p w:rsidR="00B12F92" w:rsidRDefault="00B12F92" w:rsidP="00B12F92">
      <w:pPr>
        <w:pStyle w:val="ConsPlusNormal"/>
        <w:ind w:firstLine="709"/>
        <w:jc w:val="both"/>
      </w:pPr>
      <w:proofErr w:type="gramStart"/>
      <w:r>
        <w:t xml:space="preserve">(п. 3.22 введен решением Земского Собрания </w:t>
      </w:r>
      <w:proofErr w:type="spellStart"/>
      <w:r>
        <w:t>Куединского</w:t>
      </w:r>
      <w:proofErr w:type="spellEnd"/>
      <w:proofErr w:type="gramEnd"/>
    </w:p>
    <w:p w:rsidR="00984DBF" w:rsidRDefault="00984DBF" w:rsidP="00B12F92">
      <w:pPr>
        <w:pStyle w:val="ConsPlusNormal"/>
        <w:ind w:firstLine="709"/>
        <w:jc w:val="both"/>
      </w:pPr>
      <w:r>
        <w:t xml:space="preserve"> района от 09.11.2012 N 362)</w:t>
      </w:r>
    </w:p>
    <w:sectPr w:rsidR="00984DBF" w:rsidSect="00A2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BF"/>
    <w:rsid w:val="001F608B"/>
    <w:rsid w:val="00945608"/>
    <w:rsid w:val="00984DBF"/>
    <w:rsid w:val="00B12F92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D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D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2</cp:revision>
  <dcterms:created xsi:type="dcterms:W3CDTF">2018-10-29T10:52:00Z</dcterms:created>
  <dcterms:modified xsi:type="dcterms:W3CDTF">2018-10-29T10:52:00Z</dcterms:modified>
</cp:coreProperties>
</file>