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FF" w:rsidRDefault="004D3AFF">
      <w:pPr>
        <w:pStyle w:val="ConsPlusNormal"/>
        <w:jc w:val="both"/>
      </w:pPr>
      <w:bookmarkStart w:id="0" w:name="_GoBack"/>
      <w:bookmarkEnd w:id="0"/>
    </w:p>
    <w:p w:rsidR="004D3AFF" w:rsidRDefault="004D3AFF">
      <w:pPr>
        <w:pStyle w:val="ConsPlusNormal"/>
        <w:jc w:val="right"/>
        <w:outlineLvl w:val="0"/>
      </w:pPr>
      <w:r>
        <w:t>Приложение 1</w:t>
      </w:r>
    </w:p>
    <w:p w:rsidR="004D3AFF" w:rsidRDefault="004D3AFF">
      <w:pPr>
        <w:pStyle w:val="ConsPlusNormal"/>
        <w:jc w:val="right"/>
      </w:pPr>
      <w:r>
        <w:t>к решению</w:t>
      </w:r>
    </w:p>
    <w:p w:rsidR="004D3AFF" w:rsidRDefault="004D3AFF">
      <w:pPr>
        <w:pStyle w:val="ConsPlusNormal"/>
        <w:jc w:val="right"/>
      </w:pPr>
      <w:r>
        <w:t>Пермской городской Думы</w:t>
      </w:r>
    </w:p>
    <w:p w:rsidR="004D3AFF" w:rsidRDefault="004D3AFF">
      <w:pPr>
        <w:pStyle w:val="ConsPlusNormal"/>
        <w:jc w:val="right"/>
      </w:pPr>
      <w:r>
        <w:t>от 29.11.2005 N 200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Title"/>
        <w:jc w:val="center"/>
      </w:pPr>
      <w:bookmarkStart w:id="1" w:name="P34"/>
      <w:bookmarkEnd w:id="1"/>
      <w:r>
        <w:t>ВИДЫ ПРЕДПРИНИМАТЕЛЬСКОЙ ДЕЯТЕЛЬНОСТИ, В ОТНОШЕНИИ КОТОРЫХ</w:t>
      </w:r>
    </w:p>
    <w:p w:rsidR="004D3AFF" w:rsidRDefault="004D3AFF">
      <w:pPr>
        <w:pStyle w:val="ConsPlusTitle"/>
        <w:jc w:val="center"/>
      </w:pPr>
      <w:r>
        <w:t>ВВОДИТСЯ ЕДИНЫЙ НАЛОГ НА ВМЕНЕННЫЙ ДОХОД</w:t>
      </w:r>
    </w:p>
    <w:p w:rsidR="004D3AFF" w:rsidRDefault="004D3AFF">
      <w:pPr>
        <w:spacing w:after="1"/>
      </w:pPr>
    </w:p>
    <w:p w:rsidR="00897195" w:rsidRDefault="00897195" w:rsidP="00897195">
      <w:pPr>
        <w:pStyle w:val="ConsPlusNormal"/>
        <w:jc w:val="center"/>
      </w:pPr>
      <w:r>
        <w:t>Список изменяющих документов</w:t>
      </w:r>
    </w:p>
    <w:p w:rsidR="00897195" w:rsidRDefault="00897195" w:rsidP="00897195">
      <w:pPr>
        <w:pStyle w:val="ConsPlusNormal"/>
        <w:jc w:val="center"/>
      </w:pPr>
      <w:proofErr w:type="gramStart"/>
      <w:r>
        <w:t>(в ред. решений Пермской городской Думы от 27.11.2007 N 273,</w:t>
      </w:r>
      <w:proofErr w:type="gramEnd"/>
    </w:p>
    <w:p w:rsidR="004D3AFF" w:rsidRDefault="00897195" w:rsidP="00897195">
      <w:pPr>
        <w:pStyle w:val="ConsPlusNormal"/>
        <w:jc w:val="center"/>
      </w:pPr>
      <w:r>
        <w:t>от 28.10.2008 N 337, от 19.11.2013 N 252, от 24.01.2017 N 4)</w:t>
      </w:r>
    </w:p>
    <w:p w:rsidR="00897195" w:rsidRDefault="00897195">
      <w:pPr>
        <w:pStyle w:val="ConsPlusNormal"/>
        <w:ind w:firstLine="540"/>
        <w:jc w:val="both"/>
        <w:rPr>
          <w:lang w:val="en-US"/>
        </w:rPr>
      </w:pPr>
    </w:p>
    <w:p w:rsidR="004D3AFF" w:rsidRDefault="004D3AFF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деятельности:</w:t>
      </w:r>
    </w:p>
    <w:p w:rsidR="00897195" w:rsidRDefault="00897195" w:rsidP="00897195">
      <w:pPr>
        <w:pStyle w:val="ConsPlusNormal"/>
        <w:ind w:firstLine="709"/>
        <w:jc w:val="both"/>
      </w:pPr>
      <w:r>
        <w:t>1) оказание бытовых услуг, за исключением вида деятельности, указанного в пункте 3;</w:t>
      </w:r>
    </w:p>
    <w:p w:rsidR="00897195" w:rsidRDefault="00897195" w:rsidP="00897195">
      <w:pPr>
        <w:pStyle w:val="ConsPlusNormal"/>
        <w:ind w:firstLine="709"/>
        <w:jc w:val="both"/>
      </w:pPr>
      <w:r>
        <w:t>(в ред. решения Пермской городской Думы от 24.01.2017 N 4)</w:t>
      </w:r>
    </w:p>
    <w:p w:rsidR="00897195" w:rsidRDefault="00897195" w:rsidP="00897195">
      <w:pPr>
        <w:pStyle w:val="ConsPlusNormal"/>
        <w:ind w:firstLine="709"/>
        <w:jc w:val="both"/>
      </w:pPr>
      <w:r>
        <w:t>2) оказание ветеринарных услуг;</w:t>
      </w:r>
    </w:p>
    <w:p w:rsidR="00897195" w:rsidRDefault="00897195" w:rsidP="00897195">
      <w:pPr>
        <w:pStyle w:val="ConsPlusNormal"/>
        <w:ind w:firstLine="709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897195" w:rsidRDefault="00897195" w:rsidP="00897195">
      <w:pPr>
        <w:pStyle w:val="ConsPlusNormal"/>
        <w:ind w:firstLine="709"/>
        <w:jc w:val="both"/>
      </w:pPr>
      <w:r>
        <w:t>(п. 3 в ред. решения Пермской городской Думы от 19.11.2013 N 252)</w:t>
      </w:r>
    </w:p>
    <w:p w:rsidR="00897195" w:rsidRDefault="00897195" w:rsidP="00897195">
      <w:pPr>
        <w:pStyle w:val="ConsPlusNormal"/>
        <w:ind w:firstLine="709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97195" w:rsidRDefault="00897195" w:rsidP="00897195">
      <w:pPr>
        <w:pStyle w:val="ConsPlusNormal"/>
        <w:ind w:firstLine="709"/>
        <w:jc w:val="both"/>
      </w:pPr>
      <w:r>
        <w:t>(п. 4 в ред. решения Пермской городской Думы от 19.11.2013 N 252)</w:t>
      </w:r>
    </w:p>
    <w:p w:rsidR="00897195" w:rsidRDefault="00897195" w:rsidP="00897195">
      <w:pPr>
        <w:pStyle w:val="ConsPlusNormal"/>
        <w:ind w:firstLine="709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97195" w:rsidRDefault="00897195" w:rsidP="00897195">
      <w:pPr>
        <w:pStyle w:val="ConsPlusNormal"/>
        <w:ind w:firstLine="709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97195" w:rsidRDefault="00897195" w:rsidP="00897195">
      <w:pPr>
        <w:pStyle w:val="ConsPlusNormal"/>
        <w:ind w:firstLine="709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897195" w:rsidRDefault="00897195" w:rsidP="00897195">
      <w:pPr>
        <w:pStyle w:val="ConsPlusNormal"/>
        <w:ind w:firstLine="709"/>
        <w:jc w:val="both"/>
      </w:pPr>
      <w:r>
        <w:t>(в ред. решения Пермской городской Думы от 28.10.2008 N 337)</w:t>
      </w:r>
    </w:p>
    <w:p w:rsidR="00897195" w:rsidRDefault="00897195" w:rsidP="00897195">
      <w:pPr>
        <w:pStyle w:val="ConsPlusNormal"/>
        <w:ind w:firstLine="709"/>
        <w:jc w:val="both"/>
      </w:pPr>
      <w: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97195" w:rsidRDefault="00897195" w:rsidP="00897195">
      <w:pPr>
        <w:pStyle w:val="ConsPlusNormal"/>
        <w:ind w:firstLine="709"/>
        <w:jc w:val="both"/>
      </w:pPr>
      <w:r>
        <w:t>(в ред. решений Пермской городской Думы от 27.11.2007 N 273, от 28.10.2008 N 337)</w:t>
      </w:r>
    </w:p>
    <w:p w:rsidR="00897195" w:rsidRDefault="00897195" w:rsidP="00897195">
      <w:pPr>
        <w:pStyle w:val="ConsPlusNormal"/>
        <w:ind w:firstLine="709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97195" w:rsidRDefault="00897195" w:rsidP="00897195">
      <w:pPr>
        <w:pStyle w:val="ConsPlusNormal"/>
        <w:ind w:firstLine="709"/>
        <w:jc w:val="both"/>
      </w:pPr>
      <w:r>
        <w:t>10) распространение наружной рекламы с использованием рекламных конструкций;</w:t>
      </w:r>
    </w:p>
    <w:p w:rsidR="00897195" w:rsidRDefault="00897195" w:rsidP="00897195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>. 10 в ред. решения Пермской городской Думы от 28.10.2008 N 337)</w:t>
      </w:r>
    </w:p>
    <w:p w:rsidR="00897195" w:rsidRDefault="00897195" w:rsidP="00897195">
      <w:pPr>
        <w:pStyle w:val="ConsPlusNormal"/>
        <w:ind w:firstLine="709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897195" w:rsidRDefault="00897195" w:rsidP="00897195">
      <w:pPr>
        <w:pStyle w:val="ConsPlusNormal"/>
        <w:ind w:firstLine="709"/>
        <w:jc w:val="both"/>
      </w:pPr>
      <w:r>
        <w:t>(п. 11 в ред. решения Пермской городской Думы от 19.11.2013 N 252)</w:t>
      </w:r>
    </w:p>
    <w:p w:rsidR="00897195" w:rsidRDefault="00897195" w:rsidP="00897195">
      <w:pPr>
        <w:pStyle w:val="ConsPlusNormal"/>
        <w:ind w:firstLine="709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97195" w:rsidRDefault="00897195" w:rsidP="00897195">
      <w:pPr>
        <w:pStyle w:val="ConsPlusNormal"/>
        <w:ind w:firstLine="709"/>
        <w:jc w:val="both"/>
      </w:pPr>
      <w:r>
        <w:t>(в ред. решения Пермской городской Думы от 27.11.2007 N 273)</w:t>
      </w:r>
    </w:p>
    <w:p w:rsidR="00897195" w:rsidRDefault="00897195" w:rsidP="00897195">
      <w:pPr>
        <w:pStyle w:val="ConsPlusNormal"/>
        <w:ind w:firstLine="709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97195" w:rsidRDefault="00897195" w:rsidP="00897195">
      <w:pPr>
        <w:pStyle w:val="ConsPlusNormal"/>
        <w:ind w:firstLine="709"/>
        <w:jc w:val="both"/>
      </w:pPr>
      <w:r>
        <w:lastRenderedPageBreak/>
        <w:t>(в ред. решений Пермской городской Думы от 27.11.2007 N 273, от 28.10.2008 N 337)</w:t>
      </w:r>
    </w:p>
    <w:p w:rsidR="00897195" w:rsidRDefault="00897195" w:rsidP="00897195">
      <w:pPr>
        <w:pStyle w:val="ConsPlusNormal"/>
        <w:ind w:firstLine="709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D3AFF" w:rsidRDefault="00897195" w:rsidP="00897195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>. 14 в ред. решения Пермской городской Думы от 28.10.2008 N 337)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jc w:val="right"/>
        <w:outlineLvl w:val="0"/>
      </w:pPr>
      <w:r>
        <w:t>Приложение 2</w:t>
      </w:r>
    </w:p>
    <w:p w:rsidR="004D3AFF" w:rsidRDefault="004D3AFF">
      <w:pPr>
        <w:pStyle w:val="ConsPlusNormal"/>
        <w:jc w:val="right"/>
      </w:pPr>
      <w:r>
        <w:t>к решению</w:t>
      </w:r>
    </w:p>
    <w:p w:rsidR="004D3AFF" w:rsidRDefault="004D3AFF">
      <w:pPr>
        <w:pStyle w:val="ConsPlusNormal"/>
        <w:jc w:val="right"/>
      </w:pPr>
      <w:r>
        <w:t>Пермской городской Думы</w:t>
      </w:r>
    </w:p>
    <w:p w:rsidR="004D3AFF" w:rsidRDefault="004D3AFF">
      <w:pPr>
        <w:pStyle w:val="ConsPlusNormal"/>
        <w:jc w:val="right"/>
      </w:pPr>
      <w:r>
        <w:t>от 29.11.2005 N 200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Title"/>
        <w:jc w:val="center"/>
      </w:pPr>
      <w:bookmarkStart w:id="2" w:name="P75"/>
      <w:bookmarkEnd w:id="2"/>
      <w:r>
        <w:t>КОРРЕКТИРУЮЩИЙ КОЭФФИЦИЕНТ БАЗОВОЙ ДОХОДНОСТИ К</w:t>
      </w:r>
      <w:proofErr w:type="gramStart"/>
      <w:r>
        <w:t>2</w:t>
      </w:r>
      <w:proofErr w:type="gramEnd"/>
    </w:p>
    <w:p w:rsidR="004D3AFF" w:rsidRDefault="004D3AFF">
      <w:pPr>
        <w:spacing w:after="1"/>
      </w:pPr>
    </w:p>
    <w:p w:rsidR="00897195" w:rsidRDefault="00897195" w:rsidP="00897195">
      <w:pPr>
        <w:pStyle w:val="ConsPlusNormal"/>
        <w:jc w:val="center"/>
      </w:pPr>
      <w:r>
        <w:t>Список изменяющих документов</w:t>
      </w:r>
    </w:p>
    <w:p w:rsidR="00897195" w:rsidRDefault="00897195" w:rsidP="00897195">
      <w:pPr>
        <w:pStyle w:val="ConsPlusNormal"/>
        <w:jc w:val="center"/>
      </w:pPr>
      <w:proofErr w:type="gramStart"/>
      <w:r>
        <w:t>(в ред. решений Пермской городской Думы от 31.03.2006 N 63,</w:t>
      </w:r>
      <w:proofErr w:type="gramEnd"/>
    </w:p>
    <w:p w:rsidR="00897195" w:rsidRDefault="00897195" w:rsidP="00897195">
      <w:pPr>
        <w:pStyle w:val="ConsPlusNormal"/>
        <w:jc w:val="center"/>
      </w:pPr>
      <w:r>
        <w:t>от 27.11.2007 N 273, от 28.10.2008 N 337, от 19.11.2013 N 252,</w:t>
      </w:r>
    </w:p>
    <w:p w:rsidR="004D3AFF" w:rsidRDefault="00897195" w:rsidP="00897195">
      <w:pPr>
        <w:pStyle w:val="ConsPlusNormal"/>
        <w:jc w:val="center"/>
      </w:pPr>
      <w:r>
        <w:t>от 24.01.2017 N 4)</w:t>
      </w:r>
    </w:p>
    <w:p w:rsidR="00897195" w:rsidRDefault="00897195" w:rsidP="00897195">
      <w:pPr>
        <w:pStyle w:val="ConsPlusNormal"/>
        <w:ind w:firstLine="709"/>
        <w:jc w:val="both"/>
      </w:pPr>
      <w:r>
        <w:t>1. Значения корректирующего коэффициента К</w:t>
      </w:r>
      <w:proofErr w:type="gramStart"/>
      <w:r>
        <w:t>2</w:t>
      </w:r>
      <w:proofErr w:type="gramEnd"/>
      <w:r>
        <w:t>, учитывающие совокупность особенностей ведения предпринимательской деятельности по отдельным видам деятельности для всех категорий налогоплательщиков, определены в пределах, установленных Налоговым кодексом РФ, и указаны в таблице.</w:t>
      </w:r>
    </w:p>
    <w:p w:rsidR="00897195" w:rsidRDefault="00897195" w:rsidP="00897195">
      <w:pPr>
        <w:pStyle w:val="ConsPlusNormal"/>
        <w:ind w:firstLine="709"/>
        <w:jc w:val="both"/>
      </w:pPr>
      <w:r>
        <w:t>В случае отсутствия в вышеуказанной таблице значений корректирующего коэффициента К</w:t>
      </w:r>
      <w:proofErr w:type="gramStart"/>
      <w:r>
        <w:t>2</w:t>
      </w:r>
      <w:proofErr w:type="gramEnd"/>
      <w:r>
        <w:t xml:space="preserve"> для каких-либо видов предпринимательской деятельности, предусмотренных приложением N 1 настоящего решения, значения этого коэффициента принимаются равными 1.</w:t>
      </w:r>
    </w:p>
    <w:p w:rsidR="00897195" w:rsidRDefault="00897195" w:rsidP="00897195">
      <w:pPr>
        <w:pStyle w:val="ConsPlusNormal"/>
        <w:ind w:firstLine="709"/>
        <w:jc w:val="both"/>
      </w:pPr>
      <w:r>
        <w:t>2. Изменение значений корректирующего коэффициента К</w:t>
      </w:r>
      <w:proofErr w:type="gramStart"/>
      <w:r>
        <w:t>2</w:t>
      </w:r>
      <w:proofErr w:type="gramEnd"/>
      <w:r>
        <w:t xml:space="preserve"> производится путем принятия решения Пермской городской Думы в порядке, предусмотренном Налоговым кодексом Российской Федерации. При отсутствии такого решения в текущем календарном году применяются значения корректирующего коэффициента К</w:t>
      </w:r>
      <w:proofErr w:type="gramStart"/>
      <w:r>
        <w:t>2</w:t>
      </w:r>
      <w:proofErr w:type="gramEnd"/>
      <w:r>
        <w:t>, установленные решением Пермской городской Думы на предыдущий календарный год.</w:t>
      </w:r>
    </w:p>
    <w:p w:rsidR="00897195" w:rsidRDefault="00897195" w:rsidP="00897195">
      <w:pPr>
        <w:pStyle w:val="ConsPlusNormal"/>
        <w:ind w:firstLine="709"/>
        <w:jc w:val="both"/>
      </w:pPr>
      <w:r>
        <w:t>3. В случае если в течение налогового периода у налогоплательщика произошло изменение величины физического показателя, значение корректирующего коэффициента К</w:t>
      </w:r>
      <w:proofErr w:type="gramStart"/>
      <w:r>
        <w:t>2</w:t>
      </w:r>
      <w:proofErr w:type="gramEnd"/>
      <w:r>
        <w:t xml:space="preserve"> определяется за каждый месяц, в котором произошли данные изменения.</w:t>
      </w:r>
    </w:p>
    <w:p w:rsidR="00897195" w:rsidRDefault="00897195" w:rsidP="00897195">
      <w:pPr>
        <w:pStyle w:val="ConsPlusNormal"/>
        <w:ind w:firstLine="709"/>
        <w:jc w:val="both"/>
      </w:pPr>
      <w:r>
        <w:t>Абзац второй исключен. - Решение Пермской городской Думы от 31.03.2006 N 63.</w:t>
      </w:r>
    </w:p>
    <w:p w:rsidR="00897195" w:rsidRDefault="00897195" w:rsidP="00897195">
      <w:pPr>
        <w:pStyle w:val="ConsPlusNormal"/>
        <w:ind w:firstLine="709"/>
        <w:jc w:val="both"/>
      </w:pPr>
      <w:r>
        <w:t xml:space="preserve">4. </w:t>
      </w:r>
      <w:proofErr w:type="gramStart"/>
      <w:r>
        <w:t>Исключен</w:t>
      </w:r>
      <w:proofErr w:type="gramEnd"/>
      <w:r>
        <w:t xml:space="preserve"> с 1 января 2008 года. - Решение Пермской городской Думы от 27.11.2007 N 273.</w:t>
      </w:r>
    </w:p>
    <w:p w:rsidR="00897195" w:rsidRDefault="00897195" w:rsidP="00897195">
      <w:pPr>
        <w:pStyle w:val="ConsPlusNormal"/>
        <w:ind w:firstLine="709"/>
        <w:jc w:val="both"/>
      </w:pPr>
      <w:r>
        <w:t>4. Если в объекте розничной торговли осуществляется продажа нескольких групп товаров, по каждой из которых установлены различные значения корректирующего коэффициента К</w:t>
      </w:r>
      <w:proofErr w:type="gramStart"/>
      <w:r>
        <w:t>2</w:t>
      </w:r>
      <w:proofErr w:type="gramEnd"/>
      <w:r>
        <w:t>, то при исчислении налоговой базы, с условием ведения раздельного учета, применяются коэффициенты по каждой группе товаров, исходя из удельного веса объема реализации каждой группы товаров в общем объеме реализации товаров.</w:t>
      </w:r>
    </w:p>
    <w:p w:rsidR="00897195" w:rsidRDefault="00897195" w:rsidP="00897195">
      <w:pPr>
        <w:pStyle w:val="ConsPlusNormal"/>
        <w:ind w:firstLine="709"/>
        <w:jc w:val="both"/>
      </w:pPr>
      <w:r>
        <w:t>(</w:t>
      </w:r>
      <w:proofErr w:type="gramStart"/>
      <w:r>
        <w:t>п</w:t>
      </w:r>
      <w:proofErr w:type="gramEnd"/>
      <w:r>
        <w:t>ункт введен решением Пермской городской Думы от 31.03.2006 N 63)</w:t>
      </w:r>
    </w:p>
    <w:p w:rsidR="00897195" w:rsidRDefault="00897195" w:rsidP="00897195">
      <w:pPr>
        <w:pStyle w:val="ConsPlusNormal"/>
        <w:ind w:firstLine="709"/>
        <w:jc w:val="both"/>
      </w:pPr>
      <w:r>
        <w:t>5. В случае отсутствия раздельного учета по каждой группе товаров применяется корректирующий коэффициент по смешанному ассортименту товаров. При этом</w:t>
      </w:r>
      <w:proofErr w:type="gramStart"/>
      <w:r>
        <w:t>,</w:t>
      </w:r>
      <w:proofErr w:type="gramEnd"/>
      <w:r>
        <w:t xml:space="preserve"> если значение корректирующего коэффициента по смешанному ассортименту меньше, чем значение корректирующего коэффициента по какой-либо реализуемой группе товаров, то для исчисления налогооблагаемой базы применяется максимальное значение корректирующего коэффициента по реализуемым группам товаров.</w:t>
      </w:r>
    </w:p>
    <w:p w:rsidR="004D3AFF" w:rsidRDefault="00897195" w:rsidP="00897195">
      <w:pPr>
        <w:pStyle w:val="ConsPlusNormal"/>
        <w:ind w:firstLine="709"/>
        <w:jc w:val="both"/>
      </w:pPr>
      <w:r>
        <w:t>(пункт введен решением Пермской городской Думы от 31.03.2006 N 63)</w:t>
      </w:r>
    </w:p>
    <w:p w:rsidR="00897195" w:rsidRDefault="00897195">
      <w:pPr>
        <w:pStyle w:val="ConsPlusNormal"/>
        <w:jc w:val="right"/>
        <w:outlineLvl w:val="1"/>
        <w:rPr>
          <w:lang w:val="en-US"/>
        </w:rPr>
      </w:pPr>
    </w:p>
    <w:p w:rsidR="00897195" w:rsidRDefault="00897195">
      <w:pPr>
        <w:pStyle w:val="ConsPlusNormal"/>
        <w:jc w:val="right"/>
        <w:outlineLvl w:val="1"/>
        <w:rPr>
          <w:lang w:val="en-US"/>
        </w:rPr>
      </w:pPr>
    </w:p>
    <w:p w:rsidR="00897195" w:rsidRDefault="00897195">
      <w:pPr>
        <w:pStyle w:val="ConsPlusNormal"/>
        <w:jc w:val="right"/>
        <w:outlineLvl w:val="1"/>
        <w:rPr>
          <w:lang w:val="en-US"/>
        </w:rPr>
      </w:pPr>
    </w:p>
    <w:p w:rsidR="004D3AFF" w:rsidRDefault="004D3AFF">
      <w:pPr>
        <w:pStyle w:val="ConsPlusNormal"/>
        <w:jc w:val="right"/>
        <w:outlineLvl w:val="1"/>
      </w:pPr>
      <w:r>
        <w:lastRenderedPageBreak/>
        <w:t>Таблица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jc w:val="center"/>
      </w:pPr>
      <w:bookmarkStart w:id="3" w:name="P94"/>
      <w:bookmarkEnd w:id="3"/>
      <w:r>
        <w:t xml:space="preserve">Значения корректирующего коэффициента </w:t>
      </w:r>
      <w:proofErr w:type="gramStart"/>
      <w:r>
        <w:t>базовой</w:t>
      </w:r>
      <w:proofErr w:type="gramEnd"/>
    </w:p>
    <w:p w:rsidR="004D3AFF" w:rsidRDefault="004D3AFF">
      <w:pPr>
        <w:pStyle w:val="ConsPlusNormal"/>
        <w:jc w:val="center"/>
      </w:pPr>
      <w:r>
        <w:t>доходности К</w:t>
      </w:r>
      <w:proofErr w:type="gramStart"/>
      <w:r>
        <w:t>2</w:t>
      </w:r>
      <w:proofErr w:type="gramEnd"/>
      <w:r>
        <w:t>, учитывающие совокупность особенностей</w:t>
      </w:r>
    </w:p>
    <w:p w:rsidR="004D3AFF" w:rsidRDefault="004D3AFF">
      <w:pPr>
        <w:pStyle w:val="ConsPlusNormal"/>
        <w:jc w:val="center"/>
      </w:pPr>
      <w:r>
        <w:t xml:space="preserve">ведения предпринимательской деятельности по </w:t>
      </w:r>
      <w:proofErr w:type="gramStart"/>
      <w:r>
        <w:t>отдельным</w:t>
      </w:r>
      <w:proofErr w:type="gramEnd"/>
    </w:p>
    <w:p w:rsidR="004D3AFF" w:rsidRDefault="004D3AFF">
      <w:pPr>
        <w:pStyle w:val="ConsPlusNormal"/>
        <w:jc w:val="center"/>
      </w:pPr>
      <w:r>
        <w:t>видам деятельности</w:t>
      </w:r>
    </w:p>
    <w:p w:rsidR="004D3AFF" w:rsidRDefault="004D3AF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09"/>
        <w:gridCol w:w="624"/>
        <w:gridCol w:w="624"/>
        <w:gridCol w:w="624"/>
        <w:gridCol w:w="624"/>
      </w:tblGrid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N</w:t>
            </w:r>
          </w:p>
          <w:p w:rsidR="004D3AFF" w:rsidRDefault="004D3AFF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Корректирующий коэффициент К</w:t>
            </w:r>
            <w:proofErr w:type="gramStart"/>
            <w:r>
              <w:t>2</w:t>
            </w:r>
            <w:proofErr w:type="gramEnd"/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  <w:vMerge/>
          </w:tcPr>
          <w:p w:rsidR="004D3AFF" w:rsidRDefault="004D3AFF"/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I зона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II зона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III зона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IV зона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6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Оказание бытовых услуг: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</w:pP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24.01.2017 N 4)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 w:rsidP="00897195">
            <w:pPr>
              <w:pStyle w:val="ConsPlusNormal"/>
            </w:pPr>
            <w:proofErr w:type="gramStart"/>
            <w:r>
              <w:t>Подготовка и прядение прочих текстильных волокон; плиссировка и подобные работы на текстильных материалах; пошив готовых текстильных изделий по индивидуальному заказу населения, кроме одежды; изготовление прочих текстильных изделий по индивидуальному заказу населения, не включенных в другие группировки; пошив производственной одежды по индивидуальному заказу населения; пошив одежды из кожи по индивидуальному заказу населения;</w:t>
            </w:r>
            <w:proofErr w:type="gramEnd"/>
            <w:r>
              <w:t xml:space="preserve"> пошив и вязание прочей верхней одежды по индивидуальному заказу населения; пошив нательного белья по индивидуальному заказу населения; пошив и вязание прочей одежды и аксессуаров одежды, головных уборов по индивидуальному заказу населения; пошив меховых изделий по индивидуальному заказу населения; изготовление вязаных и трикотажных чулочно-носочных изделий по индивидуальному заказу населения; </w:t>
            </w:r>
            <w:proofErr w:type="gramStart"/>
            <w:r>
              <w:t>изготовление прочих вязаных и трикотажных изделий, не включенных в другие группировки, по индивидуальному заказу населения; пошив обуви и различных дополнений к обуви по индивидуальному заказу населения; ремонт обуви и прочих изделий из кожи; ремонт одежды; ремонт текстильных изделий; ремонт трикотажных изделий; прокат и аренда прочих предметов личного пользования и хозяйственно-бытового назначения;</w:t>
            </w:r>
            <w:proofErr w:type="gramEnd"/>
            <w:r>
              <w:t xml:space="preserve"> прокат прочих бытовых изделий и предметов личного пользования для домашних хозяйств, предприятий и организаций, не включенных в другие группировки; прокат музыкальных инструментов; прокат мебели, электрических и неэлектрических бытовых приборов; прокат и аренда товаров для отдыха и спортивных товаров; деятельность физкультурно-оздоровительная </w:t>
            </w:r>
            <w:r w:rsidR="00897195" w:rsidRPr="00897195">
              <w:t>&lt;*&gt;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(в ред. </w:t>
            </w:r>
            <w:r w:rsidR="00897195">
              <w:t>р</w:t>
            </w:r>
            <w:r w:rsidR="00897195" w:rsidRPr="00897195">
              <w:t>ешения</w:t>
            </w:r>
            <w:r w:rsidR="00897195">
              <w:t xml:space="preserve"> </w:t>
            </w:r>
            <w:r>
              <w:t>Пермской городской Думы от 24.01.2017 N 4)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 w:rsidP="00897195">
            <w:pPr>
              <w:pStyle w:val="ConsPlusNormal"/>
            </w:pPr>
            <w:proofErr w:type="gramStart"/>
            <w:r>
              <w:t>Ремонт ручных инструментов с механическим приводом (электроинструментов); ремонт электронного и оптического оборудования</w:t>
            </w:r>
            <w:r w:rsidR="00897195" w:rsidRPr="00897195">
              <w:t>&lt;**&gt;</w:t>
            </w:r>
            <w:r>
              <w:t xml:space="preserve">; ремонт прочего оборудования; </w:t>
            </w:r>
            <w:r>
              <w:lastRenderedPageBreak/>
              <w:t>деятельность в области фотографии; прокат видеокассет и аудиокассет, грампластинок, компакт-дисков (CD), цифровых видеодисков (DVD); прокат телевизоров, радиоприемников, устройств видеозаписи, аудиозаписи и подобного оборудования; организация обрядов (свадеб, юбилеев), в том числе музыкальное сопровождение; деятельность зрелищно-развлекательная прочая, не включенная в другие группировки;</w:t>
            </w:r>
            <w:proofErr w:type="gramEnd"/>
            <w:r>
              <w:t xml:space="preserve"> ремонт коммуникационного оборудования; ремонт электронной бытовой техники; организация похорон и связанных с ними услуг; стирка и химическая чистка текстильных и меховых изделий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lastRenderedPageBreak/>
              <w:t>0,4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0,28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r w:rsidR="00897195">
              <w:t>р</w:t>
            </w:r>
            <w:r w:rsidR="00897195" w:rsidRPr="00897195">
              <w:t xml:space="preserve">ешения </w:t>
            </w:r>
            <w:r>
              <w:t>Пермской городской Думы от 24.01.2017 N 4)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Предоставление парикмахерских услуг; предоставление косметических услуг парикмахерскими и салонами красоты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(в ред. </w:t>
            </w:r>
            <w:r w:rsidR="00897195">
              <w:t>р</w:t>
            </w:r>
            <w:r w:rsidR="00897195" w:rsidRPr="00897195">
              <w:t xml:space="preserve">ешения </w:t>
            </w:r>
            <w:r>
              <w:t>Пермской городской Думы от 24.01.2017 N 4)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proofErr w:type="gramStart"/>
            <w:r>
              <w:t>Обработка металлов и нанесение покрытий на металлы; обработка металлических изделий механическая; изготовление готовых металлических изделий хозяйственного назначения по индивидуальному заказу населения; изготовление ювелирных изделий и аналогичных изделий по индивидуальному заказу населения; изготовление бижутерии и подобных товаров по индивидуальному заказу населения; ремонт мебели; ремонт предметов домашнего обихода; ремонт ювелирных изделий; ремонт предметов и изделий из металла;</w:t>
            </w:r>
            <w:proofErr w:type="gramEnd"/>
            <w:r>
              <w:t xml:space="preserve"> </w:t>
            </w:r>
            <w:proofErr w:type="gramStart"/>
            <w:r>
              <w:t>ремонт металлической галантереи, ключей, номерных знаков, указателей улиц; заточка пил, чертежных и других инструментов, ножей, ножниц, бритв, коньков и т.п.; ремонт прочих бытовых изделий и предметов личного пользования, не вошедших в другие группировки</w:t>
            </w:r>
            <w:proofErr w:type="gramEnd"/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0,42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(в ред. решений Пермской городской Думы от 28.10.2008 </w:t>
            </w:r>
            <w:r w:rsidR="00897195" w:rsidRPr="00897195">
              <w:t>N 337, от 24.01.2017 N 4)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proofErr w:type="gramStart"/>
            <w:r>
              <w:t>Строительство жилых и нежилых зданий; производство прочих строительно-монтажных работ; производство штукатурных работ; установка дверей (кроме автоматических и вращающихся), окон, дверных и оконных рам из дерева или прочих материалов; производство работ по внутренней отделке зданий (включая потолки, раздвижные и съемные перегородки и так далее); работы по устройству покрытий полов и облицовке стен;</w:t>
            </w:r>
            <w:proofErr w:type="gramEnd"/>
            <w:r>
              <w:t xml:space="preserve"> производство малярных работ; производство стекольных работ; производство прочих отделочных и завершающих работ; производство кровельных работ; работы строительные специализированные прочие, не включенные в другие группировки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(в ред. решений Пермской городской Думы от 28.10.2008 </w:t>
            </w:r>
            <w:r w:rsidR="00897195" w:rsidRPr="00897195">
              <w:t>N 337, от 24.01.2017 N 4)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 xml:space="preserve">Аренда и лизинг легковых автомобилей и легких автотранспортных средств; аренда и лизинг грузовых транспортных средств; аренда и лизинг </w:t>
            </w:r>
            <w:r>
              <w:lastRenderedPageBreak/>
              <w:t>сельскохозяйственных машин и оборудования; аренда и лизинг офисных машин и оборудования; аренда и лизинг вычислительных машин и оборудования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lastRenderedPageBreak/>
              <w:t xml:space="preserve">(п. 1.6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24.01.2017 N 4)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Прочие виды бытовых услуг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</w:pP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3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19.11.2013 N 252)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Количество работников, включая индивидуального предпринимателя, до 5 человек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Количество работников, включая индивидуального предпринимателя, от 5 до 10 человек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Количество работников, включая индивидуального предпринимателя, свыше 10 человек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</w:pP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4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19.11.2013 N 252)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Стоянки открытого типа площадью до 600 кв. м включительно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Стоянки открытого типа площадью от 600 до 1500 кв. м включительно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Стоянки открытого типа площадью свыше 1500 кв. м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 xml:space="preserve">Стоянки закрытого типа (кроме </w:t>
            </w:r>
            <w:proofErr w:type="gramStart"/>
            <w:r>
              <w:t>многоэтажных</w:t>
            </w:r>
            <w:proofErr w:type="gramEnd"/>
            <w:r>
              <w:t>)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Многоэтажные (наземные, подземные) стоянки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0,05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Оказание автотранспортных услуг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Грузовые перевозки: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Грузоподъемность до 1 тонны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Грузоподъемность более 1 тонны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Услуги по перевозке пассажиров: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Легковыми автомобилями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Автобусами и микроавтобусами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Подакцизными товарами: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Изделиями из драгоценных металлов и драгоценных камней: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Строительными товарами (лесоматериалы; пиломатериалы; стеновые материалы, вяжущие вещества;</w:t>
            </w:r>
          </w:p>
          <w:p w:rsidR="004D3AFF" w:rsidRDefault="004D3AFF">
            <w:pPr>
              <w:pStyle w:val="ConsPlusNormal"/>
            </w:pPr>
            <w:r>
              <w:t>материалы: кровельные, изоляционные, для облицовки и отделки, для остекления окон и дверей, для пола;</w:t>
            </w:r>
          </w:p>
          <w:p w:rsidR="004D3AFF" w:rsidRDefault="004D3AFF">
            <w:pPr>
              <w:pStyle w:val="ConsPlusNormal"/>
            </w:pPr>
            <w:r>
              <w:t>оборудование санитарно-техническое):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proofErr w:type="spellStart"/>
            <w:r>
              <w:t>Металлохозяйственными</w:t>
            </w:r>
            <w:proofErr w:type="spellEnd"/>
            <w:r>
              <w:t xml:space="preserve"> товарами (посуда, ножевые изделия, столовые приборы, механические приборы, облегчающие домашний труд, приборы для окон и дверей, инструменты):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0,32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0,22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0,13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Товарами бытовой химии (клеи, лакокрасочные товары, средства для стирки), парфюмерными, косметическими товарами: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0,32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0,26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0,19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0,13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Швейными товарами (одежда, белье, трикотаж):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0,15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proofErr w:type="spellStart"/>
            <w:r>
              <w:t>Зоотоварами</w:t>
            </w:r>
            <w:proofErr w:type="spellEnd"/>
            <w:r>
              <w:t>, растениями, семенами: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0,16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0,11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0,06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Изделиями из натурального меха, натуральной кожи, ковровыми изделиями: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0,42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0,48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0,54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Мебелью: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0,16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0,23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Галантерейными товарами, тканями: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0,07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6.11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proofErr w:type="gramStart"/>
            <w:r>
              <w:t xml:space="preserve">Культтоварами (бытовая радиоэлектронная аппаратура, радиоприемная аппаратура, аппаратура для воспроизведения звука и изображения, </w:t>
            </w:r>
            <w:proofErr w:type="spellStart"/>
            <w:r>
              <w:t>телеприемная</w:t>
            </w:r>
            <w:proofErr w:type="spellEnd"/>
            <w:r>
              <w:t xml:space="preserve"> аппаратура, </w:t>
            </w:r>
            <w:proofErr w:type="spellStart"/>
            <w:r>
              <w:t>звукоусилительная</w:t>
            </w:r>
            <w:proofErr w:type="spellEnd"/>
            <w:r>
              <w:t xml:space="preserve"> аппаратура, комбинированная аппаратура (музыкальные центры, магнитолы), комплектующие изделия, </w:t>
            </w:r>
            <w:proofErr w:type="spellStart"/>
            <w:r>
              <w:t>фотокинотовары</w:t>
            </w:r>
            <w:proofErr w:type="spellEnd"/>
            <w:r>
              <w:t>, музыкальные товары, товары для спорта, туризма, охоты, рыбной ловли, средства оргтехники):</w:t>
            </w:r>
            <w:proofErr w:type="gramEnd"/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0,45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0,32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0,23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6.12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Обувными товарами: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0,15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6.13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proofErr w:type="gramStart"/>
            <w:r>
              <w:t>Электробытовыми товарами (кабельные, установочные изделия, лампы, бытовые светильники, электронагревательные приборы, бытовые приборы, машины):</w:t>
            </w:r>
            <w:proofErr w:type="gramEnd"/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6.14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Товарами, бывшими в употреблении: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0,13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0,08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6.15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Детскими товарами, игрушками: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0,09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0,09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6.16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Книжными товарами, периодическими изданиями, канцелярскими товарами: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0,16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0,08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0,06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6.17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Прочими непродовольственными товарами: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0,24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0,17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6.18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Рыбопродуктами: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0,13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6.19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Мясопродуктами: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0,57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6.20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proofErr w:type="gramStart"/>
            <w:r>
              <w:t>Молочными товарами, пищевыми жирами, зерномучными, кондитерскими изделиями, сахаром, чаем, кофе, пряностями, приправами:</w:t>
            </w:r>
            <w:proofErr w:type="gramEnd"/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0,27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0,16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0,11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0,08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6.21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Плодоовощными товарами: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0,23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0,15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6.22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Продуктами детского питания: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0,23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0,15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lastRenderedPageBreak/>
              <w:t>6.23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Лекарственными средствами, изделиями медицинского назначения: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6.24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Прочими продовольственными товарами: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0,09</w:t>
            </w:r>
          </w:p>
        </w:tc>
      </w:tr>
      <w:tr w:rsidR="004D3AFF">
        <w:tc>
          <w:tcPr>
            <w:tcW w:w="567" w:type="dxa"/>
            <w:vMerge w:val="restart"/>
          </w:tcPr>
          <w:p w:rsidR="004D3AFF" w:rsidRDefault="004D3AFF">
            <w:pPr>
              <w:pStyle w:val="ConsPlusNormal"/>
              <w:jc w:val="center"/>
            </w:pPr>
            <w:r>
              <w:t>6.25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Смешанным ассортиментом продовольственных товаров: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</w:tr>
      <w:tr w:rsidR="004D3AFF">
        <w:tc>
          <w:tcPr>
            <w:tcW w:w="567" w:type="dxa"/>
            <w:vMerge/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0,09</w:t>
            </w:r>
          </w:p>
        </w:tc>
      </w:tr>
      <w:tr w:rsidR="004D3AFF">
        <w:tc>
          <w:tcPr>
            <w:tcW w:w="567" w:type="dxa"/>
            <w:vMerge w:val="restart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6.26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Смешанным ассортиментом непродовольственных товаров: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  <w:vMerge/>
            <w:tcBorders>
              <w:bottom w:val="nil"/>
            </w:tcBorders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до 6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</w:t>
            </w:r>
          </w:p>
        </w:tc>
      </w:tr>
      <w:tr w:rsidR="004D3AFF">
        <w:tc>
          <w:tcPr>
            <w:tcW w:w="567" w:type="dxa"/>
            <w:vMerge/>
            <w:tcBorders>
              <w:bottom w:val="nil"/>
            </w:tcBorders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6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0,28</w:t>
            </w:r>
          </w:p>
        </w:tc>
      </w:tr>
      <w:tr w:rsidR="004D3AFF">
        <w:tc>
          <w:tcPr>
            <w:tcW w:w="567" w:type="dxa"/>
            <w:vMerge/>
            <w:tcBorders>
              <w:bottom w:val="nil"/>
            </w:tcBorders>
          </w:tcPr>
          <w:p w:rsidR="004D3AFF" w:rsidRDefault="004D3AFF"/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4D3AFF" w:rsidRDefault="004D3AFF"/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0,16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6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31.03.2006 N 63)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м;</w:t>
            </w:r>
          </w:p>
          <w:p w:rsidR="004D3AFF" w:rsidRDefault="004D3AFF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кв. м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</w:pP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7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28.10.2008 N 337)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Подакцизными товарами: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Изделиями из натурального меха, натуральной кожи; ковровыми изделиями; радио-, теле-, видеотехникой и другими видами техники развлекательного характера; деталями, агрегатами и принадлежностями к автомобилям: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Продовольственными товарами: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0,6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31.03.2006 N 63)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Изделиями художественных народных промыслов и ремесел (образцы изделий утверждаются краевым художественно-экспертным советом по народным художественным промыслам);</w:t>
            </w:r>
          </w:p>
          <w:p w:rsidR="004D3AFF" w:rsidRDefault="004D3AFF">
            <w:pPr>
              <w:pStyle w:val="ConsPlusNormal"/>
            </w:pPr>
            <w:r>
              <w:t>предметами культа и религиозного назначения (кроме изделий из драгоценных металлов и драгоценных камней); лекарственными средствами и изделиями медицинского назначения; книжной продукцией и периодическими изданиями (кроме продукции рекламного и эротического характера)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</w:pP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>(в ред. решений Пермской городской Думы от 31.03.</w:t>
            </w:r>
            <w:r w:rsidR="00897195">
              <w:t xml:space="preserve"> </w:t>
            </w:r>
            <w:r w:rsidR="00897195" w:rsidRPr="00897195">
              <w:t>2006 N 63, от 19.11.2013 N 252</w:t>
            </w:r>
            <w:r>
              <w:t>)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Прочими видами товаров: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0,8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7.6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28.10.2008 N 337)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</w:pP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>(в ред. решений Пермской городской Думы от 27.11.</w:t>
            </w:r>
            <w:r w:rsidR="00897195">
              <w:t xml:space="preserve"> </w:t>
            </w:r>
            <w:r w:rsidR="00897195" w:rsidRPr="00897195">
              <w:t>2007 N 273, от 28.10.2008 N 337</w:t>
            </w:r>
            <w:r>
              <w:t>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Организации (объекты) общественного питания в общеобразовательных организациях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8.1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19.11.2013 N 252)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 xml:space="preserve">Организации (объекты) общественного питания в </w:t>
            </w:r>
            <w:r>
              <w:lastRenderedPageBreak/>
              <w:t>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lastRenderedPageBreak/>
              <w:t>0,15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lastRenderedPageBreak/>
              <w:t xml:space="preserve">(п. 8.2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19.11.2013 N 252)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Столовые закрытого типа (без доступа посторонних посетителей), предназначенные для обслуживания работников данной организации (предпринимателя)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0,05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Прочие столовые: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зала обслуживания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зала обслуживания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0,09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зала обслуживания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0,06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Рестораны: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зала обслуживания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зала обслуживания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0,23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зала обслуживания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0,15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Бары, кафе: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зала обслуживания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0,24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зала обслуживания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зала обслуживания от 100 до 150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Закусочные, другие типы предприятий питания: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зала обслуживания до 50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0,18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Площадь зала обслуживания от 50 до 100 кв. м включительно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624" w:type="dxa"/>
          </w:tcPr>
          <w:p w:rsidR="004D3AFF" w:rsidRDefault="004D3AFF">
            <w:pPr>
              <w:pStyle w:val="ConsPlusNormal"/>
              <w:jc w:val="center"/>
            </w:pPr>
            <w:r>
              <w:t>0,14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Площадь зала обслуживания от 100 до 150 кв. м включительно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0,09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8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31.03.2006 N 63)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</w:pP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Организации (объекты) общественного питания в общеобразовательных организациях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0,1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9.1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19.11.2013 N 252)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 xml:space="preserve">Организации (объекты) общественного питания в профессиональных образовательных организациях и </w:t>
            </w:r>
            <w:r>
              <w:lastRenderedPageBreak/>
              <w:t>образовательных организациях высшего образования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lastRenderedPageBreak/>
              <w:t>0,15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lastRenderedPageBreak/>
              <w:t xml:space="preserve">(п. 9.2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19.11.2013 N 252)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Другие типы предприятий питания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0,12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9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31.03.2006 N 63)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</w:pP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10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28.10.2008 N 337)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0,05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10.1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28.10.2008 N 337)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0,05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10.2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28.10.2008 N 337)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0,05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10.3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28.10.2008 N 337)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0,05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11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19.11.2013 N 252)</w:t>
            </w:r>
          </w:p>
        </w:tc>
      </w:tr>
      <w:tr w:rsidR="004D3AFF">
        <w:tc>
          <w:tcPr>
            <w:tcW w:w="567" w:type="dxa"/>
          </w:tcPr>
          <w:p w:rsidR="004D3AFF" w:rsidRDefault="004D3AF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09" w:type="dxa"/>
          </w:tcPr>
          <w:p w:rsidR="004D3AFF" w:rsidRDefault="004D3AFF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2496" w:type="dxa"/>
            <w:gridSpan w:val="4"/>
          </w:tcPr>
          <w:p w:rsidR="004D3AFF" w:rsidRDefault="004D3AFF">
            <w:pPr>
              <w:pStyle w:val="ConsPlusNormal"/>
              <w:jc w:val="center"/>
            </w:pPr>
            <w:r>
              <w:t>0,7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м;</w:t>
            </w:r>
          </w:p>
          <w:p w:rsidR="004D3AFF" w:rsidRDefault="004D3AFF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t xml:space="preserve">(п. 13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28.10.2008 N 337)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09" w:type="dxa"/>
            <w:tcBorders>
              <w:bottom w:val="nil"/>
            </w:tcBorders>
          </w:tcPr>
          <w:p w:rsidR="004D3AFF" w:rsidRDefault="004D3AFF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земельных участков для размещения объектов </w:t>
            </w:r>
            <w:r>
              <w:lastRenderedPageBreak/>
              <w:t>стационарной и нестационарной торговой сети, а также объектов организации общественного питания, если площадь земельного участка не превышает 10 кв. м;</w:t>
            </w:r>
          </w:p>
          <w:p w:rsidR="004D3AFF" w:rsidRDefault="004D3AFF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</w:t>
            </w:r>
          </w:p>
        </w:tc>
        <w:tc>
          <w:tcPr>
            <w:tcW w:w="2496" w:type="dxa"/>
            <w:gridSpan w:val="4"/>
            <w:tcBorders>
              <w:bottom w:val="nil"/>
            </w:tcBorders>
          </w:tcPr>
          <w:p w:rsidR="004D3AFF" w:rsidRDefault="004D3AF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4D3AFF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D3AFF" w:rsidRDefault="004D3AFF" w:rsidP="00897195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r w:rsidR="00897195" w:rsidRPr="00897195">
              <w:t>решения</w:t>
            </w:r>
            <w:r w:rsidR="00897195">
              <w:t xml:space="preserve"> </w:t>
            </w:r>
            <w:r>
              <w:t>Пермской городской Думы от 28.10.2008 N 337)</w:t>
            </w:r>
          </w:p>
        </w:tc>
      </w:tr>
    </w:tbl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--------------------------------</w:t>
      </w:r>
    </w:p>
    <w:p w:rsidR="004D3AFF" w:rsidRDefault="004D3AFF">
      <w:pPr>
        <w:pStyle w:val="ConsPlusNormal"/>
        <w:spacing w:before="220"/>
        <w:ind w:firstLine="540"/>
        <w:jc w:val="both"/>
      </w:pPr>
      <w:bookmarkStart w:id="4" w:name="P1045"/>
      <w:bookmarkEnd w:id="4"/>
      <w:r>
        <w:t>&lt;*&gt; Эта группировка не включает услуги по медицинскому массажу и терапии, см. по коду 86.90.13, 86.90.19; услуги клубов фитнеса и бодибилдинга, см. по коду 93.13.10.</w:t>
      </w:r>
    </w:p>
    <w:p w:rsidR="004D3AFF" w:rsidRDefault="004D3AFF">
      <w:pPr>
        <w:pStyle w:val="ConsPlusNormal"/>
        <w:jc w:val="both"/>
      </w:pPr>
      <w:r>
        <w:t xml:space="preserve">(сноска введена </w:t>
      </w:r>
      <w:r w:rsidR="00897195" w:rsidRPr="00897195">
        <w:t>решением</w:t>
      </w:r>
      <w:r w:rsidR="00897195">
        <w:t xml:space="preserve"> </w:t>
      </w:r>
      <w:r>
        <w:t>Пермской городской Думы от 24.01.2017 N 4)</w:t>
      </w:r>
    </w:p>
    <w:p w:rsidR="004D3AFF" w:rsidRDefault="004D3AFF">
      <w:pPr>
        <w:pStyle w:val="ConsPlusNormal"/>
        <w:spacing w:before="220"/>
        <w:ind w:firstLine="540"/>
        <w:jc w:val="both"/>
      </w:pPr>
      <w:bookmarkStart w:id="5" w:name="P1047"/>
      <w:bookmarkEnd w:id="5"/>
      <w:r>
        <w:t>&lt;**&gt; Из группировки по коду 33.13 "Ремонт электронного и оптического оборудования" к бытовым услугам относятся услуги по ремонту и техническому обслуживанию инструментов и приборов для измерения, испытаний и навигации.</w:t>
      </w:r>
    </w:p>
    <w:p w:rsidR="004D3AFF" w:rsidRDefault="004D3AFF">
      <w:pPr>
        <w:pStyle w:val="ConsPlusNormal"/>
        <w:jc w:val="both"/>
      </w:pPr>
      <w:r>
        <w:t xml:space="preserve">(сноска введена </w:t>
      </w:r>
      <w:r w:rsidR="00897195" w:rsidRPr="00897195">
        <w:t>решением</w:t>
      </w:r>
      <w:r w:rsidR="00897195">
        <w:t xml:space="preserve"> </w:t>
      </w:r>
      <w:r>
        <w:t>Пермской городской Думы от 24.01.2017 N 4)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В целях применения настоящего решения территория города Перми дифференцирована следующим образом: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jc w:val="center"/>
      </w:pPr>
      <w:r>
        <w:t>I зона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Комсомольский проспект от ул. Орджоникидзе до Комсомольской площади, включая Комсомольскую и Октябрьскую площади.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Ленина от ул. Клименко до привокзальной площади, включая привокзальную площадь.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Сибирская.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jc w:val="center"/>
      </w:pPr>
      <w:r>
        <w:t>II зона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Ленинский район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Улица </w:t>
      </w:r>
      <w:proofErr w:type="spellStart"/>
      <w:r>
        <w:t>Крисанова</w:t>
      </w:r>
      <w:proofErr w:type="spellEnd"/>
      <w:r>
        <w:t xml:space="preserve"> от улицы Коммунистической до пересечения с улицей Кирова.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Улица Коммунистическая от Комсомольского проспекта до улицы </w:t>
      </w:r>
      <w:proofErr w:type="spellStart"/>
      <w:r>
        <w:t>Крисанова</w:t>
      </w:r>
      <w:proofErr w:type="spellEnd"/>
      <w:r>
        <w:t>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Попова от площади Центрального рынка до улицы Коммунистической, включая площадь Центрального рынка.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Куйбышева.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Борчанинова от улицы Пушкина до улицы Ленина.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Пушкина.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Дзержинский район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Улица </w:t>
      </w:r>
      <w:proofErr w:type="spellStart"/>
      <w:r>
        <w:t>Крисанова</w:t>
      </w:r>
      <w:proofErr w:type="spellEnd"/>
      <w:r>
        <w:t>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lastRenderedPageBreak/>
        <w:t xml:space="preserve">Улица Коммунистическая от улицы </w:t>
      </w:r>
      <w:proofErr w:type="spellStart"/>
      <w:r>
        <w:t>Крисанова</w:t>
      </w:r>
      <w:proofErr w:type="spellEnd"/>
      <w:r>
        <w:t xml:space="preserve"> до привокзальной площади.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Проспект Парковый от улицы </w:t>
      </w:r>
      <w:proofErr w:type="spellStart"/>
      <w:r>
        <w:t>Куфонина</w:t>
      </w:r>
      <w:proofErr w:type="spellEnd"/>
      <w:r>
        <w:t xml:space="preserve"> до улицы Зои Космодемьянской.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Шоссе Космонавтов.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Индустриальный район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Мира.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Стахановская от улицы Карпинского до улицы Танкистов.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Карпинского от улицы Стахановской до проспекта Декабристов.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Шоссе Космонавтов.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Свердловский район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Революции от бульвара Гагарина до привокзальной площади, включая привокзальную площадь.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Солдатова от улицы Куйбышева до улицы Яблочкова.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Куйбышева.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Пушкина.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Красноармейская.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Полины Осипенко.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Глеба Успенского от улицы Сибирской до улицы Куйбышева.</w:t>
      </w:r>
    </w:p>
    <w:p w:rsidR="004D3AFF" w:rsidRDefault="004D3AFF">
      <w:pPr>
        <w:pStyle w:val="ConsPlusNormal"/>
        <w:jc w:val="both"/>
      </w:pPr>
    </w:p>
    <w:p w:rsidR="00897195" w:rsidRPr="00897195" w:rsidRDefault="004D3AFF" w:rsidP="00897195">
      <w:pPr>
        <w:rPr>
          <w:rFonts w:ascii="Calibri" w:eastAsia="Times New Roman" w:hAnsi="Calibri" w:cs="Calibri"/>
          <w:szCs w:val="20"/>
          <w:lang w:eastAsia="ru-RU"/>
        </w:rPr>
      </w:pPr>
      <w:r>
        <w:t xml:space="preserve">Абзацы первый-второй исключены. </w:t>
      </w:r>
      <w:r w:rsidR="00897195" w:rsidRPr="00897195">
        <w:rPr>
          <w:rFonts w:ascii="Calibri" w:eastAsia="Times New Roman" w:hAnsi="Calibri" w:cs="Calibri"/>
          <w:szCs w:val="20"/>
          <w:lang w:eastAsia="ru-RU"/>
        </w:rPr>
        <w:t>- Решение Пермской городской Думы от 31.03.2006 N 63.</w:t>
      </w:r>
    </w:p>
    <w:p w:rsidR="004D3AFF" w:rsidRDefault="004D3AFF">
      <w:pPr>
        <w:pStyle w:val="ConsPlusNormal"/>
        <w:ind w:firstLine="540"/>
        <w:jc w:val="both"/>
      </w:pPr>
      <w:r>
        <w:t>Мотовилихинский район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Уральская от Цирка до улицы Розалии Землячки.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Улица Крупской от Цирка до площади Дружбы, включая площадь Дружбы.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 xml:space="preserve">Абзацы первый-третий исключены. </w:t>
      </w:r>
      <w:r w:rsidR="00897195">
        <w:t>–</w:t>
      </w:r>
      <w:r>
        <w:t xml:space="preserve"> </w:t>
      </w:r>
      <w:r w:rsidR="00897195" w:rsidRPr="00897195">
        <w:t>Решение</w:t>
      </w:r>
      <w:r w:rsidR="00897195">
        <w:t xml:space="preserve"> </w:t>
      </w:r>
      <w:r>
        <w:t>Пермской городской Думы от 31.03.2006 N 63.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jc w:val="center"/>
      </w:pPr>
      <w:r>
        <w:t>III зона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Микрорайоны, поселки, улицы, площади, проспекты, не принадлежащие I, II, IV зонам.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jc w:val="center"/>
      </w:pPr>
      <w:r>
        <w:t>IV зона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Ленинский район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Комплекс ПГТУ.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Камская долина.</w:t>
      </w:r>
    </w:p>
    <w:p w:rsidR="004D3AFF" w:rsidRDefault="004D3AFF">
      <w:pPr>
        <w:pStyle w:val="ConsPlusNormal"/>
        <w:spacing w:before="220"/>
        <w:ind w:firstLine="540"/>
        <w:jc w:val="both"/>
      </w:pPr>
      <w:proofErr w:type="spellStart"/>
      <w:r>
        <w:t>Закама</w:t>
      </w:r>
      <w:proofErr w:type="spellEnd"/>
      <w:r>
        <w:t>.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lastRenderedPageBreak/>
        <w:t>Дзержинский район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Микрорайон </w:t>
      </w:r>
      <w:proofErr w:type="spellStart"/>
      <w:r>
        <w:t>Заостровка</w:t>
      </w:r>
      <w:proofErr w:type="spellEnd"/>
      <w:r>
        <w:t xml:space="preserve"> (исключая улицы Маяковского и первую Колхозную).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Микрорайон Пролетарский (исключая улицы </w:t>
      </w:r>
      <w:proofErr w:type="spellStart"/>
      <w:r>
        <w:t>Костычева</w:t>
      </w:r>
      <w:proofErr w:type="spellEnd"/>
      <w:r>
        <w:t xml:space="preserve"> и Докучаева).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Микрорайон Акулова.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Микрорайон Красный Октябрь, ограниченный рекой </w:t>
      </w:r>
      <w:proofErr w:type="spellStart"/>
      <w:r>
        <w:t>Мулянкой</w:t>
      </w:r>
      <w:proofErr w:type="spellEnd"/>
      <w:r>
        <w:t>, улицами Трамвайной и Дзержинского, рекой Камой.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Индустриальный район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Поселок </w:t>
      </w:r>
      <w:proofErr w:type="spellStart"/>
      <w:r>
        <w:t>Осенцы</w:t>
      </w:r>
      <w:proofErr w:type="spellEnd"/>
      <w:r>
        <w:t>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Микрорайон Верхние Муллы.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Деревня </w:t>
      </w:r>
      <w:proofErr w:type="spellStart"/>
      <w:r>
        <w:t>Субботино</w:t>
      </w:r>
      <w:proofErr w:type="spellEnd"/>
      <w:r>
        <w:t>.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Свердловский район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Поселки Новые </w:t>
      </w:r>
      <w:proofErr w:type="spellStart"/>
      <w:r>
        <w:t>Ляды</w:t>
      </w:r>
      <w:proofErr w:type="spellEnd"/>
      <w:r>
        <w:t>, Голый Мыс и Соболи.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Микрорайон Липовая гора.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Микрорайон </w:t>
      </w:r>
      <w:proofErr w:type="spellStart"/>
      <w:r>
        <w:t>Новобродовский</w:t>
      </w:r>
      <w:proofErr w:type="spellEnd"/>
      <w:r>
        <w:t>.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Кировский район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Поселки Крым и Кировский.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Микрорайон </w:t>
      </w:r>
      <w:proofErr w:type="spellStart"/>
      <w:r>
        <w:t>Налимиха</w:t>
      </w:r>
      <w:proofErr w:type="spellEnd"/>
      <w:r>
        <w:t>.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Мотовилихинский район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Микрорайоны Верхняя Курья, </w:t>
      </w:r>
      <w:proofErr w:type="spellStart"/>
      <w:r>
        <w:t>Костарево</w:t>
      </w:r>
      <w:proofErr w:type="spellEnd"/>
      <w:r>
        <w:t>, Запруд, Гарцы, Вышка-1.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>С/х Мотовилихинский.</w:t>
      </w:r>
    </w:p>
    <w:p w:rsidR="004D3AFF" w:rsidRDefault="004D3AFF">
      <w:pPr>
        <w:pStyle w:val="ConsPlusNormal"/>
        <w:jc w:val="both"/>
      </w:pPr>
    </w:p>
    <w:p w:rsidR="004D3AFF" w:rsidRDefault="004D3AFF">
      <w:pPr>
        <w:pStyle w:val="ConsPlusNormal"/>
        <w:ind w:firstLine="540"/>
        <w:jc w:val="both"/>
      </w:pPr>
      <w:r>
        <w:t>Орджоникидзевский район</w:t>
      </w:r>
    </w:p>
    <w:p w:rsidR="004D3AFF" w:rsidRDefault="004D3AFF">
      <w:pPr>
        <w:pStyle w:val="ConsPlusNormal"/>
        <w:spacing w:before="220"/>
        <w:ind w:firstLine="540"/>
        <w:jc w:val="both"/>
      </w:pPr>
      <w:r>
        <w:t xml:space="preserve">Микрорайоны </w:t>
      </w:r>
      <w:proofErr w:type="spellStart"/>
      <w:r>
        <w:t>Левшино</w:t>
      </w:r>
      <w:proofErr w:type="spellEnd"/>
      <w:r>
        <w:t xml:space="preserve">, Голованово, Бумажников, Заозерье, Чапаева, Январский, Фрунзе, Банная гора, Малые реки, Гремячий, </w:t>
      </w:r>
      <w:proofErr w:type="spellStart"/>
      <w:r>
        <w:t>Н.Мостовая</w:t>
      </w:r>
      <w:proofErr w:type="spellEnd"/>
      <w:r>
        <w:t xml:space="preserve">, Химики, </w:t>
      </w:r>
      <w:proofErr w:type="spellStart"/>
      <w:r>
        <w:t>Плотинка</w:t>
      </w:r>
      <w:proofErr w:type="spellEnd"/>
      <w:r>
        <w:t xml:space="preserve">, Н. </w:t>
      </w:r>
      <w:proofErr w:type="spellStart"/>
      <w:r>
        <w:t>Гайвинский</w:t>
      </w:r>
      <w:proofErr w:type="spellEnd"/>
      <w:r>
        <w:t xml:space="preserve">, </w:t>
      </w:r>
      <w:proofErr w:type="spellStart"/>
      <w:r>
        <w:t>Промзона</w:t>
      </w:r>
      <w:proofErr w:type="spellEnd"/>
      <w:r>
        <w:t xml:space="preserve">, Лесной-1, Лесной-5, </w:t>
      </w:r>
      <w:proofErr w:type="spellStart"/>
      <w:r>
        <w:t>Соц</w:t>
      </w:r>
      <w:proofErr w:type="gramStart"/>
      <w:r>
        <w:t>.п</w:t>
      </w:r>
      <w:proofErr w:type="gramEnd"/>
      <w:r>
        <w:t>оселок</w:t>
      </w:r>
      <w:proofErr w:type="spellEnd"/>
      <w:r>
        <w:t xml:space="preserve">, Чусовской водозабор, </w:t>
      </w:r>
      <w:proofErr w:type="spellStart"/>
      <w:r>
        <w:t>Ширяеха</w:t>
      </w:r>
      <w:proofErr w:type="spellEnd"/>
      <w:r>
        <w:t>.</w:t>
      </w:r>
    </w:p>
    <w:p w:rsidR="004D3AFF" w:rsidRDefault="004D3AFF">
      <w:pPr>
        <w:pStyle w:val="ConsPlusNormal"/>
        <w:jc w:val="both"/>
      </w:pPr>
      <w:r>
        <w:t xml:space="preserve">(в ред. </w:t>
      </w:r>
      <w:r w:rsidR="00897195" w:rsidRPr="00897195">
        <w:t>решения</w:t>
      </w:r>
      <w:r w:rsidR="00897195">
        <w:t xml:space="preserve"> </w:t>
      </w:r>
      <w:r>
        <w:t>Пермской городской Думы от 31.03.2006 N 63)</w:t>
      </w:r>
      <w:r w:rsidR="00402F00">
        <w:t>.</w:t>
      </w:r>
    </w:p>
    <w:sectPr w:rsidR="004D3AFF" w:rsidSect="0089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FF"/>
    <w:rsid w:val="00053109"/>
    <w:rsid w:val="00172517"/>
    <w:rsid w:val="00402F00"/>
    <w:rsid w:val="004B5A84"/>
    <w:rsid w:val="004D3AFF"/>
    <w:rsid w:val="0089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3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3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3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3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3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3A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3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3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3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3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3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3A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4800</Words>
  <Characters>27362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3</cp:revision>
  <dcterms:created xsi:type="dcterms:W3CDTF">2018-10-10T11:09:00Z</dcterms:created>
  <dcterms:modified xsi:type="dcterms:W3CDTF">2018-10-10T11:19:00Z</dcterms:modified>
</cp:coreProperties>
</file>