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9C" w:rsidRDefault="00F0559C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jc w:val="right"/>
      </w:pPr>
      <w:r>
        <w:t>УТВЕРЖДЕНО</w:t>
      </w:r>
    </w:p>
    <w:p w:rsidR="00F0559C" w:rsidRDefault="00F0559C">
      <w:pPr>
        <w:pStyle w:val="ConsPlusNormal"/>
        <w:jc w:val="right"/>
      </w:pPr>
      <w:r>
        <w:t>решением</w:t>
      </w:r>
    </w:p>
    <w:p w:rsidR="00F0559C" w:rsidRDefault="00F0559C">
      <w:pPr>
        <w:pStyle w:val="ConsPlusNormal"/>
        <w:jc w:val="right"/>
      </w:pPr>
      <w:proofErr w:type="spellStart"/>
      <w:r>
        <w:t>Кизеловской</w:t>
      </w:r>
      <w:proofErr w:type="spellEnd"/>
      <w:r>
        <w:t xml:space="preserve"> городской Думы</w:t>
      </w:r>
    </w:p>
    <w:p w:rsidR="00F0559C" w:rsidRDefault="00F0559C">
      <w:pPr>
        <w:pStyle w:val="ConsPlusNormal"/>
        <w:jc w:val="right"/>
      </w:pPr>
      <w:r>
        <w:t>от 26.10.2018 N 21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Title"/>
        <w:jc w:val="center"/>
      </w:pPr>
      <w:bookmarkStart w:id="1" w:name="P42"/>
      <w:bookmarkEnd w:id="1"/>
      <w:r>
        <w:t>ПОЛОЖЕНИЕ</w:t>
      </w:r>
    </w:p>
    <w:p w:rsidR="00F0559C" w:rsidRDefault="00F0559C">
      <w:pPr>
        <w:pStyle w:val="ConsPlusTitle"/>
        <w:jc w:val="center"/>
      </w:pPr>
      <w:r>
        <w:t xml:space="preserve">О СИСТЕМЕ НАЛОГООБЛОЖЕНИЯ В ВИДЕ ЕДИНОГО НАЛОГА НА </w:t>
      </w:r>
      <w:proofErr w:type="gramStart"/>
      <w:r>
        <w:t>ВМЕНЕННЫЙ</w:t>
      </w:r>
      <w:proofErr w:type="gramEnd"/>
    </w:p>
    <w:p w:rsidR="00F0559C" w:rsidRDefault="00F0559C">
      <w:pPr>
        <w:pStyle w:val="ConsPlusTitle"/>
        <w:jc w:val="center"/>
      </w:pPr>
      <w:r>
        <w:t>ДОХОД ДЛЯ ОТДЕЛЬНЫХ ВИДОВ ДЕЯТЕЛЬНОСТИ НА ТЕРРИТОРИИ</w:t>
      </w:r>
    </w:p>
    <w:p w:rsidR="00F0559C" w:rsidRDefault="00F0559C">
      <w:pPr>
        <w:pStyle w:val="ConsPlusTitle"/>
        <w:jc w:val="center"/>
      </w:pPr>
      <w:r>
        <w:t>ГОРОДСКОГО ОКРУГА "ГОРОД КИЗЕЛ"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Title"/>
        <w:jc w:val="center"/>
        <w:outlineLvl w:val="1"/>
      </w:pPr>
      <w:r>
        <w:t>1. Общие положения</w:t>
      </w:r>
    </w:p>
    <w:p w:rsidR="00C27951" w:rsidRDefault="00C27951" w:rsidP="00C27951">
      <w:pPr>
        <w:pStyle w:val="ConsPlusNormal"/>
        <w:jc w:val="both"/>
      </w:pPr>
    </w:p>
    <w:p w:rsidR="00F0559C" w:rsidRDefault="00C27951" w:rsidP="00C27951">
      <w:pPr>
        <w:pStyle w:val="ConsPlusNormal"/>
        <w:jc w:val="both"/>
        <w:rPr>
          <w:lang w:val="en-US"/>
        </w:rPr>
      </w:pPr>
      <w:r>
        <w:t xml:space="preserve">Система налогообложения в виде единого налога на вмененный доход для отдельных видов деятельности на территории </w:t>
      </w:r>
      <w:proofErr w:type="spellStart"/>
      <w:r>
        <w:t>Кизеловского</w:t>
      </w:r>
      <w:proofErr w:type="spellEnd"/>
      <w:r>
        <w:t xml:space="preserve"> муниципального района применяется в соответствии с Налоговым кодексом Российской Федерации и настоящим решением.</w:t>
      </w:r>
    </w:p>
    <w:p w:rsidR="00C27951" w:rsidRPr="00C27951" w:rsidRDefault="00C27951" w:rsidP="00C27951">
      <w:pPr>
        <w:pStyle w:val="ConsPlusNormal"/>
        <w:jc w:val="both"/>
        <w:rPr>
          <w:lang w:val="en-US"/>
        </w:rPr>
      </w:pPr>
    </w:p>
    <w:p w:rsidR="00F0559C" w:rsidRDefault="00F0559C">
      <w:pPr>
        <w:pStyle w:val="ConsPlusTitle"/>
        <w:jc w:val="center"/>
        <w:outlineLvl w:val="1"/>
      </w:pPr>
      <w:r>
        <w:t>2. Виды предпринимательской деятельности, в отношении</w:t>
      </w:r>
    </w:p>
    <w:p w:rsidR="00F0559C" w:rsidRDefault="00F0559C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вводится система налогообложения в виде единого</w:t>
      </w:r>
    </w:p>
    <w:p w:rsidR="00F0559C" w:rsidRDefault="00F0559C">
      <w:pPr>
        <w:pStyle w:val="ConsPlusTitle"/>
        <w:jc w:val="center"/>
      </w:pPr>
      <w:r>
        <w:t>налога на вмененный доход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1.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2.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3.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4.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5.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6.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7. оказания услуг по ремонту, техническому обслуживанию и мойке автомототранспортных средств;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8.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27951" w:rsidRDefault="00C27951" w:rsidP="00C27951">
      <w:pPr>
        <w:pStyle w:val="ConsPlusNormal"/>
        <w:jc w:val="both"/>
      </w:pPr>
      <w:r>
        <w:lastRenderedPageBreak/>
        <w:t>9.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27951" w:rsidRDefault="00C27951" w:rsidP="00C27951">
      <w:pPr>
        <w:pStyle w:val="ConsPlusNormal"/>
        <w:jc w:val="both"/>
      </w:pPr>
      <w:r>
        <w:t>10. оказания ветеринарных услуг;</w:t>
      </w:r>
    </w:p>
    <w:p w:rsidR="00C27951" w:rsidRDefault="00C27951" w:rsidP="00C27951">
      <w:pPr>
        <w:pStyle w:val="ConsPlusNormal"/>
        <w:jc w:val="both"/>
      </w:pPr>
      <w:r>
        <w:t>11.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0559C" w:rsidRDefault="00C27951" w:rsidP="00C27951">
      <w:pPr>
        <w:pStyle w:val="ConsPlusNormal"/>
        <w:jc w:val="both"/>
        <w:rPr>
          <w:lang w:val="en-US"/>
        </w:rPr>
      </w:pPr>
      <w:r>
        <w:t>12.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27951" w:rsidRPr="00C27951" w:rsidRDefault="00C27951" w:rsidP="00C27951">
      <w:pPr>
        <w:pStyle w:val="ConsPlusNormal"/>
        <w:jc w:val="both"/>
        <w:rPr>
          <w:lang w:val="en-US"/>
        </w:rPr>
      </w:pPr>
    </w:p>
    <w:p w:rsidR="00F0559C" w:rsidRDefault="00F0559C">
      <w:pPr>
        <w:pStyle w:val="ConsPlusTitle"/>
        <w:jc w:val="center"/>
        <w:outlineLvl w:val="1"/>
      </w:pPr>
      <w:r>
        <w:t>3. Значения корректирующего коэффициента базовой доходности</w:t>
      </w:r>
    </w:p>
    <w:p w:rsidR="00F0559C" w:rsidRDefault="00F0559C">
      <w:pPr>
        <w:pStyle w:val="ConsPlusTitle"/>
        <w:jc w:val="center"/>
      </w:pPr>
      <w:r>
        <w:t>К</w:t>
      </w:r>
      <w:proofErr w:type="gramStart"/>
      <w:r>
        <w:t>2</w:t>
      </w:r>
      <w:proofErr w:type="gramEnd"/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1.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в отношении видов предпринимательской деятельности "Розничная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торговли" и "Розничная торговля, осуществляемая через объекты стационарной торговой сети, не имеющей торговых залов, а также объекты нестационарной торговой сети"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К2 = К2.1 x К2.2 x К2.3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где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.1 - коэффициент, учитывающий ассортимент товаров и площадь торгового зала;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>.2 - коэффициент, учитывающий режим работы: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круглосуточно - 1,0;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прочие режимы работы - 0,8;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>.3 - коэффициент, учитывающий местонахождение объекта (коэффициент зональности):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черта города - 1;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микрорайон Южный выше улицы Учебной, включая территорию северо-западнее перекрестка улиц Учебной и Борчанинова, - 0,8;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поселения: Южно-</w:t>
      </w:r>
      <w:proofErr w:type="spellStart"/>
      <w:r>
        <w:t>Коспашское</w:t>
      </w:r>
      <w:proofErr w:type="spellEnd"/>
      <w:r>
        <w:t>, Северно-</w:t>
      </w:r>
      <w:proofErr w:type="spellStart"/>
      <w:r>
        <w:t>Коспашское</w:t>
      </w:r>
      <w:proofErr w:type="spellEnd"/>
      <w:r>
        <w:t xml:space="preserve"> (кроме микрорайона бывшей шахты N 42), Центрально-</w:t>
      </w:r>
      <w:proofErr w:type="spellStart"/>
      <w:r>
        <w:t>Коспашское</w:t>
      </w:r>
      <w:proofErr w:type="spellEnd"/>
      <w:r>
        <w:t xml:space="preserve">, </w:t>
      </w:r>
      <w:proofErr w:type="spellStart"/>
      <w:r>
        <w:t>Шахтинское</w:t>
      </w:r>
      <w:proofErr w:type="spellEnd"/>
      <w:r>
        <w:t xml:space="preserve">; Рудничный, Строитель, Д. </w:t>
      </w:r>
      <w:proofErr w:type="spellStart"/>
      <w:r>
        <w:t>Угор</w:t>
      </w:r>
      <w:proofErr w:type="spellEnd"/>
      <w:r>
        <w:t xml:space="preserve"> - 0,6;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Фрунзе, Володарского, Технический, ш. Ленина, микрорайон</w:t>
      </w:r>
      <w:proofErr w:type="gramStart"/>
      <w:r>
        <w:t xml:space="preserve"> Б</w:t>
      </w:r>
      <w:proofErr w:type="gramEnd"/>
      <w:r>
        <w:t xml:space="preserve">ис (пос. Шахта), микрорайон бывшей шахты N 42 Северно-Коспашского поселения, </w:t>
      </w:r>
      <w:proofErr w:type="spellStart"/>
      <w:r>
        <w:t>Расик</w:t>
      </w:r>
      <w:proofErr w:type="spellEnd"/>
      <w:r>
        <w:t>, Общий Рудник - 0,4;</w:t>
      </w:r>
    </w:p>
    <w:p w:rsidR="00F0559C" w:rsidRDefault="00F0559C">
      <w:pPr>
        <w:pStyle w:val="ConsPlusNormal"/>
        <w:spacing w:before="220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коэффициент, учитывающий особенности осуществления данного вида предпринимательской деятельности в определенном месте, которое организуется по решению органов местного самоуправления для работы исключительно в субботу, воскресенье и нерабочие, праздничные дни.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1.1. Значение корректирующего коэффициента К</w:t>
      </w:r>
      <w:proofErr w:type="gramStart"/>
      <w:r>
        <w:t>2</w:t>
      </w:r>
      <w:proofErr w:type="gramEnd"/>
      <w:r>
        <w:t>.1 в отношении розничной торговли, осуществляемой через объекты стационарной торговой сети, имеющей торговые залы: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jc w:val="right"/>
        <w:outlineLvl w:val="2"/>
      </w:pPr>
      <w:r>
        <w:t>Таблица 1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654"/>
        <w:gridCol w:w="737"/>
      </w:tblGrid>
      <w:tr w:rsidR="00F0559C">
        <w:tc>
          <w:tcPr>
            <w:tcW w:w="680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F0559C"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1</w:t>
            </w:r>
          </w:p>
        </w:tc>
        <w:tc>
          <w:tcPr>
            <w:tcW w:w="8391" w:type="dxa"/>
            <w:gridSpan w:val="2"/>
          </w:tcPr>
          <w:p w:rsidR="00F0559C" w:rsidRDefault="00F0559C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1.1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Подакцизными товарами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1,0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0,62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0,37</w:t>
            </w:r>
          </w:p>
        </w:tc>
      </w:tr>
      <w:tr w:rsidR="00F0559C"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1.2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Изделиями из драгоценных металлов и драгоценных камней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1,0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1.3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proofErr w:type="gramStart"/>
            <w:r>
              <w:t>Строительными товарами (лесоматериалы, пиломатериалы, стеновые материалы, вяжущие вещества, материалы: кровельные, изоляционные, для облицовки и отделки, для остекления окон и дверей, для пола, оборудование санитарно-техническое)</w:t>
            </w:r>
            <w:proofErr w:type="gramEnd"/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0,46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0,25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1.4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Изделиями из натурального меха, натуральной кожи, ковровыми изделиями, деталями, агрегатами и принадлежностями к автомобилям и мотоциклам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0,6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1.5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 xml:space="preserve">Мебелью, культтоварами (бытовая радиоэлектронная аппаратура, радиоприемная аппаратура, аппаратура для воспроизведения звука и изображения, </w:t>
            </w:r>
            <w:proofErr w:type="spellStart"/>
            <w:r>
              <w:t>телеприемная</w:t>
            </w:r>
            <w:proofErr w:type="spellEnd"/>
            <w:r>
              <w:t xml:space="preserve"> аппаратура, </w:t>
            </w:r>
            <w:proofErr w:type="spellStart"/>
            <w:r>
              <w:t>звукоусилительная</w:t>
            </w:r>
            <w:proofErr w:type="spellEnd"/>
            <w:r>
              <w:t xml:space="preserve"> аппаратура, комбинированная аппаратура, музыкальные центры, магнитолы, комплектующие изделия, фот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кинотовары</w:t>
            </w:r>
            <w:proofErr w:type="spellEnd"/>
            <w:r>
              <w:t>, музыкальные товары, сотовые телефоны, средства оргтехники)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0,45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0,25</w:t>
            </w:r>
          </w:p>
        </w:tc>
      </w:tr>
      <w:tr w:rsidR="00F0559C"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1.6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Товарами, бывшими в употреблении, - от 6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lastRenderedPageBreak/>
              <w:t>1.7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Книжными товарами, канцелярскими товарами, периодическими изданиями (а также сопутствующими товарами при условии, что доходы от реализации сопутствующих товаров составляют не более 30% от общего товарооборота)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0,18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0,16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0,14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1.8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Прочими непродовольственными товарами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0,6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0,45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0,25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1.9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Розничная торговля лекарственными средствами, изделиями медицинского назначения аптечными учреждениями, осуществляющими обеспечение лекарственными средствами льготной категории граждан федерального и регионального уровней; индивидуальное изготовление лекарств; обеспечение населения и лечебно-профилактических учреждений наркотическими средствами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0,6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0,4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0,19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1.10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Лекарственными средствами, изделиями медицинского назначения: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0,46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0,37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1.11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Продовольственными товарами, в том числе сопутствующими товарами (при условии, что доходы от реализации сопутствующих товаров составляют не более 30% от общего товарооборота)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до 10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0,75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 до 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0,45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0,25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В случае реализации в одном месте розничной торговли нескольких видов товаров для расчета базовой доходности применяется максимальное значение К</w:t>
      </w:r>
      <w:proofErr w:type="gramStart"/>
      <w:r>
        <w:t>2</w:t>
      </w:r>
      <w:proofErr w:type="gramEnd"/>
      <w:r>
        <w:t>.1.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В случае осуществления данного вида предпринимательской деятельности в определенном месте, которое организуется по решению органов местного самоуправления для работы исключительно в субботу, воскресенье и нерабочие, праздничные дни, вместо коэффициента К2.3 применяется коэффициент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>, имеющий значение 0,6.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1.2. Значение корректирующего коэффициента базовой доходности К</w:t>
      </w:r>
      <w:proofErr w:type="gramStart"/>
      <w:r>
        <w:t>2</w:t>
      </w:r>
      <w:proofErr w:type="gramEnd"/>
      <w:r>
        <w:t>.1 в отношении розничной торговли, осуществляемой через объекты стационарной торговой сети, не имеющей торговых залов, и объекты нестационарной торговой сети: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654"/>
        <w:gridCol w:w="737"/>
      </w:tblGrid>
      <w:tr w:rsidR="00F0559C">
        <w:tc>
          <w:tcPr>
            <w:tcW w:w="680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F0559C"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1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залов, и объекты нестационарной торговой сети: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1.1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Подакцизными товарами: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1,0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680" w:type="dxa"/>
            <w:vMerge w:val="restart"/>
          </w:tcPr>
          <w:p w:rsidR="00F0559C" w:rsidRDefault="00F0559C">
            <w:pPr>
              <w:pStyle w:val="ConsPlusNormal"/>
            </w:pPr>
            <w:r>
              <w:t>1.2</w:t>
            </w:r>
          </w:p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Прочими видами товаров: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Объекты стационарной торговой сети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680" w:type="dxa"/>
            <w:vMerge/>
          </w:tcPr>
          <w:p w:rsidR="00F0559C" w:rsidRDefault="00F0559C"/>
        </w:tc>
        <w:tc>
          <w:tcPr>
            <w:tcW w:w="7654" w:type="dxa"/>
          </w:tcPr>
          <w:p w:rsidR="00F0559C" w:rsidRDefault="00F0559C">
            <w:pPr>
              <w:pStyle w:val="ConsPlusNormal"/>
            </w:pPr>
            <w:r>
              <w:t>Объекты нестационарной торговой сети</w:t>
            </w:r>
          </w:p>
        </w:tc>
        <w:tc>
          <w:tcPr>
            <w:tcW w:w="737" w:type="dxa"/>
          </w:tcPr>
          <w:p w:rsidR="00F0559C" w:rsidRDefault="00F0559C">
            <w:pPr>
              <w:pStyle w:val="ConsPlusNormal"/>
              <w:jc w:val="center"/>
            </w:pPr>
            <w:r>
              <w:t>0,6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2.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разносной торговли, осуществляемой индивидуальными предпринимателями (за исключением торговли коврами, ювелирными изделиями из драгоценных металлов и камней, изделиями из натуральных кожи и меха (в том числе обувью), пивом, алкогольной продукцией, табачными изделиями, технически сложными товарами бытового назначения, в том числе бытовой радиоэлектронной аппаратурой, вычислительной и множительной техникой, электробытовыми машинами и приборами, фото- и киноаппаратурой, телефонными аппаратами, запасными частями к автомобилям), применяется в размере 1.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3.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определяется как произведение значений, учитывающих влияние отдельных факторов на результат предпринимательской деятельности: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К2.1 x К2.2 x К2.3 x К2.4, где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.1 - коэффициент, учитывающий тип организации общественного питания и площадь зала обслуживания;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>.2 - коэффициент, учитывающий режим работы: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40"/>
        <w:gridCol w:w="680"/>
      </w:tblGrid>
      <w:tr w:rsidR="00F055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</w:pPr>
            <w:r>
              <w:t>Свыше 21 часа вечера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</w:pPr>
            <w:r>
              <w:t>1,0</w:t>
            </w:r>
          </w:p>
        </w:tc>
      </w:tr>
      <w:tr w:rsidR="00F055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</w:pPr>
            <w:r>
              <w:lastRenderedPageBreak/>
              <w:t>До 21 часа вечера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</w:pPr>
            <w:r>
              <w:t>0,8</w:t>
            </w:r>
          </w:p>
        </w:tc>
      </w:tr>
      <w:tr w:rsidR="00F0559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</w:pPr>
            <w:r>
              <w:t>До 19 часов вечера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0559C" w:rsidRDefault="00F0559C">
            <w:pPr>
              <w:pStyle w:val="ConsPlusNormal"/>
            </w:pPr>
            <w:r>
              <w:t>0,7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>.3 - коэффициент, учитывающий местонахождение объекта (коэффициент зональности):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черта города - 1;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микрорайон Южный и выше улицы Н. Памяти, включая территорию северо-западнее перекрестка улиц Учебной и Борчанинова, - 0,6;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поселения: Южно-</w:t>
      </w:r>
      <w:proofErr w:type="spellStart"/>
      <w:r>
        <w:t>Коспашское</w:t>
      </w:r>
      <w:proofErr w:type="spellEnd"/>
      <w:r>
        <w:t>, Северно-</w:t>
      </w:r>
      <w:proofErr w:type="spellStart"/>
      <w:r>
        <w:t>Коспашское</w:t>
      </w:r>
      <w:proofErr w:type="spellEnd"/>
      <w:r>
        <w:t xml:space="preserve"> (кроме микрорайона бывшей шахты N 42), Центрально-</w:t>
      </w:r>
      <w:proofErr w:type="spellStart"/>
      <w:r>
        <w:t>Коспашское</w:t>
      </w:r>
      <w:proofErr w:type="spellEnd"/>
      <w:r>
        <w:t xml:space="preserve">, </w:t>
      </w:r>
      <w:proofErr w:type="spellStart"/>
      <w:r>
        <w:t>Шахтинское</w:t>
      </w:r>
      <w:proofErr w:type="spellEnd"/>
      <w:r>
        <w:t xml:space="preserve">; Рудничный, Строитель, Д. </w:t>
      </w:r>
      <w:proofErr w:type="spellStart"/>
      <w:r>
        <w:t>Угор</w:t>
      </w:r>
      <w:proofErr w:type="spellEnd"/>
      <w:r>
        <w:t>, Фрунзе, Володарского, Технический, ш. Ленина, микрорайон</w:t>
      </w:r>
      <w:proofErr w:type="gramStart"/>
      <w:r>
        <w:t xml:space="preserve"> Б</w:t>
      </w:r>
      <w:proofErr w:type="gramEnd"/>
      <w:r>
        <w:t xml:space="preserve">ис (пос. Шахта), микрорайон бывшей шахты N 42 Северно-Коспашского поселения, </w:t>
      </w:r>
      <w:proofErr w:type="spellStart"/>
      <w:r>
        <w:t>Расик</w:t>
      </w:r>
      <w:proofErr w:type="spellEnd"/>
      <w:r>
        <w:t>, Общий Рудник - 0,5;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К</w:t>
      </w:r>
      <w:proofErr w:type="gramStart"/>
      <w:r>
        <w:t>2</w:t>
      </w:r>
      <w:proofErr w:type="gramEnd"/>
      <w:r>
        <w:t>.4 - коэффициент, учитывающий количество наемных работников: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80"/>
      </w:tblGrid>
      <w:tr w:rsidR="00F0559C">
        <w:tc>
          <w:tcPr>
            <w:tcW w:w="3288" w:type="dxa"/>
          </w:tcPr>
          <w:p w:rsidR="00F0559C" w:rsidRDefault="00F0559C">
            <w:pPr>
              <w:pStyle w:val="ConsPlusNormal"/>
              <w:jc w:val="center"/>
            </w:pPr>
            <w:r>
              <w:t>Количество работающих, чел.</w:t>
            </w:r>
          </w:p>
        </w:tc>
        <w:tc>
          <w:tcPr>
            <w:tcW w:w="680" w:type="dxa"/>
          </w:tcPr>
          <w:p w:rsidR="00F0559C" w:rsidRDefault="00F0559C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.4</w:t>
            </w:r>
          </w:p>
        </w:tc>
      </w:tr>
      <w:tr w:rsidR="00F0559C">
        <w:tc>
          <w:tcPr>
            <w:tcW w:w="3288" w:type="dxa"/>
          </w:tcPr>
          <w:p w:rsidR="00F0559C" w:rsidRDefault="00F0559C">
            <w:pPr>
              <w:pStyle w:val="ConsPlusNormal"/>
            </w:pPr>
            <w:r>
              <w:t>До 5</w:t>
            </w:r>
          </w:p>
        </w:tc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1,0</w:t>
            </w:r>
          </w:p>
        </w:tc>
      </w:tr>
      <w:tr w:rsidR="00F0559C">
        <w:tc>
          <w:tcPr>
            <w:tcW w:w="3288" w:type="dxa"/>
          </w:tcPr>
          <w:p w:rsidR="00F0559C" w:rsidRDefault="00F0559C">
            <w:pPr>
              <w:pStyle w:val="ConsPlusNormal"/>
            </w:pPr>
            <w:r>
              <w:t>5-10</w:t>
            </w:r>
          </w:p>
        </w:tc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0,95</w:t>
            </w:r>
          </w:p>
        </w:tc>
      </w:tr>
      <w:tr w:rsidR="00F0559C">
        <w:tc>
          <w:tcPr>
            <w:tcW w:w="3288" w:type="dxa"/>
          </w:tcPr>
          <w:p w:rsidR="00F0559C" w:rsidRDefault="00F0559C">
            <w:pPr>
              <w:pStyle w:val="ConsPlusNormal"/>
            </w:pPr>
            <w:r>
              <w:t>11-20</w:t>
            </w:r>
          </w:p>
        </w:tc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0,9</w:t>
            </w:r>
          </w:p>
        </w:tc>
      </w:tr>
      <w:tr w:rsidR="00F0559C">
        <w:tc>
          <w:tcPr>
            <w:tcW w:w="3288" w:type="dxa"/>
          </w:tcPr>
          <w:p w:rsidR="00F0559C" w:rsidRDefault="00F0559C">
            <w:pPr>
              <w:pStyle w:val="ConsPlusNormal"/>
            </w:pPr>
            <w:r>
              <w:t>Свыше 20</w:t>
            </w:r>
          </w:p>
        </w:tc>
        <w:tc>
          <w:tcPr>
            <w:tcW w:w="680" w:type="dxa"/>
          </w:tcPr>
          <w:p w:rsidR="00F0559C" w:rsidRDefault="00F0559C">
            <w:pPr>
              <w:pStyle w:val="ConsPlusNormal"/>
            </w:pPr>
            <w:r>
              <w:t>0,85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Значение корректирующего коэффициента К</w:t>
      </w:r>
      <w:proofErr w:type="gramStart"/>
      <w:r>
        <w:t>2</w:t>
      </w:r>
      <w:proofErr w:type="gramEnd"/>
      <w:r>
        <w:t>.1 в отношении вида деятельности "Оказание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540"/>
        <w:gridCol w:w="794"/>
      </w:tblGrid>
      <w:tr w:rsidR="00F0559C">
        <w:tc>
          <w:tcPr>
            <w:tcW w:w="510" w:type="dxa"/>
            <w:vAlign w:val="center"/>
          </w:tcPr>
          <w:p w:rsidR="00F0559C" w:rsidRDefault="00F055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40" w:type="dxa"/>
            <w:vAlign w:val="center"/>
          </w:tcPr>
          <w:p w:rsidR="00F0559C" w:rsidRDefault="00F0559C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794" w:type="dxa"/>
            <w:vAlign w:val="center"/>
          </w:tcPr>
          <w:p w:rsidR="00F0559C" w:rsidRDefault="00F0559C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>.1</w:t>
            </w:r>
          </w:p>
        </w:tc>
      </w:tr>
      <w:tr w:rsidR="00F0559C">
        <w:tc>
          <w:tcPr>
            <w:tcW w:w="510" w:type="dxa"/>
          </w:tcPr>
          <w:p w:rsidR="00F0559C" w:rsidRDefault="00F0559C">
            <w:pPr>
              <w:pStyle w:val="ConsPlusNormal"/>
            </w:pPr>
            <w:r>
              <w:t>1</w:t>
            </w:r>
          </w:p>
        </w:tc>
        <w:tc>
          <w:tcPr>
            <w:tcW w:w="8334" w:type="dxa"/>
            <w:gridSpan w:val="2"/>
          </w:tcPr>
          <w:p w:rsidR="00F0559C" w:rsidRDefault="00F0559C">
            <w:pPr>
              <w:pStyle w:val="ConsPlusNormal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F0559C">
        <w:tc>
          <w:tcPr>
            <w:tcW w:w="510" w:type="dxa"/>
            <w:vMerge w:val="restart"/>
          </w:tcPr>
          <w:p w:rsidR="00F0559C" w:rsidRDefault="00F0559C">
            <w:pPr>
              <w:pStyle w:val="ConsPlusNormal"/>
            </w:pPr>
            <w:r>
              <w:t>1.1</w:t>
            </w:r>
          </w:p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Рестораны: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до 50 кв. м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0,65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0,6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0,5</w:t>
            </w:r>
          </w:p>
        </w:tc>
      </w:tr>
      <w:tr w:rsidR="00F0559C">
        <w:tc>
          <w:tcPr>
            <w:tcW w:w="510" w:type="dxa"/>
            <w:vMerge w:val="restart"/>
          </w:tcPr>
          <w:p w:rsidR="00F0559C" w:rsidRDefault="00F0559C">
            <w:pPr>
              <w:pStyle w:val="ConsPlusNormal"/>
            </w:pPr>
            <w:r>
              <w:t>1.2</w:t>
            </w:r>
          </w:p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Бары, кафе, закусочные: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до 50 кв. м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0,5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0,47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0,45</w:t>
            </w:r>
          </w:p>
        </w:tc>
      </w:tr>
      <w:tr w:rsidR="00F0559C">
        <w:tc>
          <w:tcPr>
            <w:tcW w:w="510" w:type="dxa"/>
            <w:vMerge w:val="restart"/>
          </w:tcPr>
          <w:p w:rsidR="00F0559C" w:rsidRDefault="00F0559C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Детские кафе: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до 50 кв. м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0,5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0,4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0,3</w:t>
            </w:r>
          </w:p>
        </w:tc>
      </w:tr>
      <w:tr w:rsidR="00F0559C">
        <w:tc>
          <w:tcPr>
            <w:tcW w:w="510" w:type="dxa"/>
            <w:vMerge w:val="restart"/>
          </w:tcPr>
          <w:p w:rsidR="00F0559C" w:rsidRDefault="00F0559C">
            <w:pPr>
              <w:pStyle w:val="ConsPlusNormal"/>
            </w:pPr>
            <w:r>
              <w:t>1.4</w:t>
            </w:r>
          </w:p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Столовые и другие типы предприятий питания: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до 50 кв. м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50 до 100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0,3</w:t>
            </w:r>
          </w:p>
        </w:tc>
      </w:tr>
      <w:tr w:rsidR="00F0559C">
        <w:tc>
          <w:tcPr>
            <w:tcW w:w="510" w:type="dxa"/>
            <w:vMerge/>
          </w:tcPr>
          <w:p w:rsidR="00F0559C" w:rsidRDefault="00F0559C"/>
        </w:tc>
        <w:tc>
          <w:tcPr>
            <w:tcW w:w="7540" w:type="dxa"/>
          </w:tcPr>
          <w:p w:rsidR="00F0559C" w:rsidRDefault="00F0559C">
            <w:pPr>
              <w:pStyle w:val="ConsPlusNormal"/>
            </w:pPr>
            <w:r>
              <w:t>Площадь торгового зала от 100 до 150 кв. м включительно</w:t>
            </w:r>
          </w:p>
        </w:tc>
        <w:tc>
          <w:tcPr>
            <w:tcW w:w="794" w:type="dxa"/>
          </w:tcPr>
          <w:p w:rsidR="00F0559C" w:rsidRDefault="00F0559C">
            <w:pPr>
              <w:pStyle w:val="ConsPlusNormal"/>
              <w:jc w:val="center"/>
            </w:pPr>
            <w:r>
              <w:t>0,2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Организации и предприниматели, осуществляющие предпринимательскую деятельность в сфере оказания услуг общественного питания через столовые закрытого типа (без доступа посторонних посетителей), предназначенные для обслуживания работников данной организации (предпринимателя),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0,05.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Организации и предприниматели, осуществляющие предпринимательскую деятельность в сфере оказания услуг общественного питания в общеобразовательных учреждениях,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0,1.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4. Организации и предприниматели, осуществляющие розничную торговлю через объекты стационарной торговой сети и (или) оказание услуг общественного питания в отдаленных и труднодоступных местностях (по Перечню отдаленных и труднодоступных местностей, установленному краевым законодательством),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0,07.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Данное значение коэффициента К</w:t>
      </w:r>
      <w:proofErr w:type="gramStart"/>
      <w:r>
        <w:t>2</w:t>
      </w:r>
      <w:proofErr w:type="gramEnd"/>
      <w:r>
        <w:t xml:space="preserve"> налогоплательщики применяют в отношении объектов организации торговли и общественного питания, находящихся в соответствующих отдаленных и труднодоступных местностях.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5.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общественного питания, осуществляемых через объекты организации общественного питания, не имеющие зала обслуживания посетителей" равно 1.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6. Значения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посетителей" равно 1.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7.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услуг":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20"/>
        <w:gridCol w:w="1984"/>
      </w:tblGrid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F0559C" w:rsidRDefault="00F0559C">
            <w:pPr>
              <w:pStyle w:val="ConsPlusNormal"/>
              <w:jc w:val="center"/>
            </w:pPr>
            <w:r>
              <w:t>Виды услуг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Значение корректирующего коэффициента</w:t>
            </w:r>
          </w:p>
        </w:tc>
      </w:tr>
      <w:tr w:rsidR="00F0559C">
        <w:tc>
          <w:tcPr>
            <w:tcW w:w="454" w:type="dxa"/>
            <w:vMerge w:val="restart"/>
          </w:tcPr>
          <w:p w:rsidR="00F0559C" w:rsidRDefault="00F0559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20" w:type="dxa"/>
          </w:tcPr>
          <w:p w:rsidR="00F0559C" w:rsidRDefault="00F0559C">
            <w:pPr>
              <w:pStyle w:val="ConsPlusNormal"/>
            </w:pPr>
            <w:r>
              <w:t>Оказание автотранспортных услуг по перевозке пассажиров: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</w:pPr>
          </w:p>
        </w:tc>
      </w:tr>
      <w:tr w:rsidR="00F0559C">
        <w:tc>
          <w:tcPr>
            <w:tcW w:w="454" w:type="dxa"/>
            <w:vMerge/>
          </w:tcPr>
          <w:p w:rsidR="00F0559C" w:rsidRDefault="00F0559C"/>
        </w:tc>
        <w:tc>
          <w:tcPr>
            <w:tcW w:w="6520" w:type="dxa"/>
          </w:tcPr>
          <w:p w:rsidR="00F0559C" w:rsidRDefault="00F0559C">
            <w:pPr>
              <w:pStyle w:val="ConsPlusNormal"/>
            </w:pPr>
            <w:r>
              <w:t>Легковыми автомобилями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1,0</w:t>
            </w:r>
          </w:p>
        </w:tc>
      </w:tr>
      <w:tr w:rsidR="00F0559C">
        <w:tc>
          <w:tcPr>
            <w:tcW w:w="454" w:type="dxa"/>
            <w:vMerge/>
          </w:tcPr>
          <w:p w:rsidR="00F0559C" w:rsidRDefault="00F0559C"/>
        </w:tc>
        <w:tc>
          <w:tcPr>
            <w:tcW w:w="6520" w:type="dxa"/>
          </w:tcPr>
          <w:p w:rsidR="00F0559C" w:rsidRDefault="00F0559C">
            <w:pPr>
              <w:pStyle w:val="ConsPlusNormal"/>
            </w:pPr>
            <w:r>
              <w:t>Микроавтобусами до 13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0,3</w:t>
            </w:r>
          </w:p>
        </w:tc>
      </w:tr>
      <w:tr w:rsidR="00F0559C">
        <w:tc>
          <w:tcPr>
            <w:tcW w:w="454" w:type="dxa"/>
            <w:vMerge/>
          </w:tcPr>
          <w:p w:rsidR="00F0559C" w:rsidRDefault="00F0559C"/>
        </w:tc>
        <w:tc>
          <w:tcPr>
            <w:tcW w:w="6520" w:type="dxa"/>
          </w:tcPr>
          <w:p w:rsidR="00F0559C" w:rsidRDefault="00F0559C">
            <w:pPr>
              <w:pStyle w:val="ConsPlusNormal"/>
            </w:pPr>
            <w:r>
              <w:t>Автобусами свыше 13 посадочных мест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0,2</w:t>
            </w:r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F0559C" w:rsidRDefault="00F0559C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1,0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8.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автомототранспортных средств,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>, равное 1.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9. Значения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автостоянок)":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1984"/>
      </w:tblGrid>
      <w:tr w:rsidR="00F0559C">
        <w:tc>
          <w:tcPr>
            <w:tcW w:w="6973" w:type="dxa"/>
          </w:tcPr>
          <w:p w:rsidR="00F0559C" w:rsidRDefault="00F0559C">
            <w:pPr>
              <w:pStyle w:val="ConsPlusNormal"/>
              <w:jc w:val="center"/>
            </w:pPr>
            <w:r>
              <w:t>Типы стоянок автомобилей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Значения корректирующего коэффициента</w:t>
            </w:r>
          </w:p>
        </w:tc>
      </w:tr>
      <w:tr w:rsidR="00F0559C">
        <w:tc>
          <w:tcPr>
            <w:tcW w:w="6973" w:type="dxa"/>
          </w:tcPr>
          <w:p w:rsidR="00F0559C" w:rsidRDefault="00F0559C">
            <w:pPr>
              <w:pStyle w:val="ConsPlusNormal"/>
            </w:pPr>
            <w:r>
              <w:t>1. Стоянки открытого типа площадью до 600 кв. м включительно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1</w:t>
            </w:r>
          </w:p>
        </w:tc>
      </w:tr>
      <w:tr w:rsidR="00F0559C">
        <w:tc>
          <w:tcPr>
            <w:tcW w:w="6973" w:type="dxa"/>
          </w:tcPr>
          <w:p w:rsidR="00F0559C" w:rsidRDefault="00F0559C">
            <w:pPr>
              <w:pStyle w:val="ConsPlusNormal"/>
            </w:pPr>
            <w:r>
              <w:t>2. Стоянки открытого типа площадью от 600 до 1500 кв. м включительно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0,7</w:t>
            </w:r>
          </w:p>
        </w:tc>
      </w:tr>
      <w:tr w:rsidR="00F0559C">
        <w:tc>
          <w:tcPr>
            <w:tcW w:w="6973" w:type="dxa"/>
          </w:tcPr>
          <w:p w:rsidR="00F0559C" w:rsidRDefault="00F0559C">
            <w:pPr>
              <w:pStyle w:val="ConsPlusNormal"/>
            </w:pPr>
            <w:r>
              <w:t>3. Стоянки открытого типа площадью свыше 1500 кв. м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0,5</w:t>
            </w:r>
          </w:p>
        </w:tc>
      </w:tr>
      <w:tr w:rsidR="00F0559C">
        <w:tc>
          <w:tcPr>
            <w:tcW w:w="6973" w:type="dxa"/>
          </w:tcPr>
          <w:p w:rsidR="00F0559C" w:rsidRDefault="00F0559C">
            <w:pPr>
              <w:pStyle w:val="ConsPlusNormal"/>
            </w:pPr>
            <w:r>
              <w:t>4. Стоянки закрытого типа</w:t>
            </w:r>
          </w:p>
        </w:tc>
        <w:tc>
          <w:tcPr>
            <w:tcW w:w="1984" w:type="dxa"/>
          </w:tcPr>
          <w:p w:rsidR="00F0559C" w:rsidRDefault="00F0559C">
            <w:pPr>
              <w:pStyle w:val="ConsPlusNormal"/>
              <w:jc w:val="center"/>
            </w:pPr>
            <w:r>
              <w:t>0,1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10. В случае если в течение налогового периода у налогоплательщика произошло изменение величины физического показателя,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за каждый месяц, в котором произошли данные изменения.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По итогам налогового периода значение корректирующего коэффициента К</w:t>
      </w:r>
      <w:proofErr w:type="gramStart"/>
      <w:r>
        <w:t>2</w:t>
      </w:r>
      <w:proofErr w:type="gramEnd"/>
      <w:r>
        <w:t xml:space="preserve"> определяется как отношение суммы значений коэффициентов за каждый месяц к числу календарных месяцев в налоговом периоде, в течение которых осуществлялась деятельность.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11. Значения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бытовых услуг":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5046"/>
        <w:gridCol w:w="907"/>
        <w:gridCol w:w="850"/>
        <w:gridCol w:w="850"/>
        <w:gridCol w:w="850"/>
      </w:tblGrid>
      <w:tr w:rsidR="00F0559C">
        <w:tc>
          <w:tcPr>
            <w:tcW w:w="504" w:type="dxa"/>
            <w:vMerge w:val="restart"/>
          </w:tcPr>
          <w:p w:rsidR="00F0559C" w:rsidRDefault="00F0559C">
            <w:pPr>
              <w:pStyle w:val="ConsPlusNormal"/>
            </w:pPr>
          </w:p>
        </w:tc>
        <w:tc>
          <w:tcPr>
            <w:tcW w:w="5046" w:type="dxa"/>
            <w:vMerge w:val="restart"/>
          </w:tcPr>
          <w:p w:rsidR="00F0559C" w:rsidRDefault="00F0559C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3457" w:type="dxa"/>
            <w:gridSpan w:val="4"/>
          </w:tcPr>
          <w:p w:rsidR="00F0559C" w:rsidRDefault="00F0559C">
            <w:pPr>
              <w:pStyle w:val="ConsPlusNormal"/>
              <w:jc w:val="center"/>
            </w:pPr>
            <w:r>
              <w:t>Значения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F0559C">
        <w:tc>
          <w:tcPr>
            <w:tcW w:w="504" w:type="dxa"/>
            <w:vMerge/>
          </w:tcPr>
          <w:p w:rsidR="00F0559C" w:rsidRDefault="00F0559C"/>
        </w:tc>
        <w:tc>
          <w:tcPr>
            <w:tcW w:w="5046" w:type="dxa"/>
            <w:vMerge/>
          </w:tcPr>
          <w:p w:rsidR="00F0559C" w:rsidRDefault="00F0559C"/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1-я группа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2-я группа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3-я группа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4-я группа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>Пошив обуви и различных дополнений к обуви по индивидуальному заказу населения (15.20.5); ремонт обуви и прочих изделий из кожи (95.23);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0,21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proofErr w:type="gramStart"/>
            <w:r>
              <w:t xml:space="preserve">Подготовка и прядение прочих текстильных волокон (13.10.9); плиссировка и подобные работы </w:t>
            </w:r>
            <w:r>
              <w:lastRenderedPageBreak/>
              <w:t>на текстильных материалах (13.30.3); пошив готовых текстильных изделий по индивидуальному заказу населения, кроме одежды (13.92.2); изготовление прочих текстильных изделий по индивидуальному заказу населения, не включенных в другие группировки (13.99.4); пошив производственной одежды по индивидуальному заказу населения (14.12.2); пошив одежды из кожи по индивидуальному заказу населения (14.11.2);</w:t>
            </w:r>
            <w:proofErr w:type="gramEnd"/>
            <w:r>
              <w:t xml:space="preserve"> </w:t>
            </w:r>
            <w:proofErr w:type="gramStart"/>
            <w:r>
              <w:t>пошив и вязание прочей верхней одежды по индивидуальному заказу населения (14.13.3); пошив нательного белья по индивидуальному заказу населения (14.14.4); пошив и вязание прочей одежды и аксессуаров одежды, головных уборов по индивидуальному заказу населения (14.19.5); пошив меховых изделий по индивидуальному заказу населения (14.20.2); изготовление вязаных и трикотажных чулочно-носочных изделий по индивидуальному заказу населения (14.31.2);</w:t>
            </w:r>
            <w:proofErr w:type="gramEnd"/>
            <w:r>
              <w:t xml:space="preserve"> изготовление прочих вязаных и трикотажных изделий, не включенных в другие группировки по индивидуальному заказу населения (14.39.2); ремонт одежды (95.29.11); ремонт текстильных изделий (95.29.12); ремонт трикотажных изделий (95.29.13)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lastRenderedPageBreak/>
              <w:t>0,56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0,17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>Ремонт электронной бытовой техники (95.21); ремонт бытовой техники (95.22.1), ремонт домашнего и садового оборудования (95.22.2), ремонт часов (95.25.1)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0,21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proofErr w:type="gramStart"/>
            <w:r>
              <w:t>Обработка металлов и нанесение покрытий на металлы (25.61); обработка металлических изделий механическая (25.62); изготовление готовых металлических изделий хозяйственного назначения по индивидуальному заказу населения (25.99.3); изготовление ювелирных изделий и аналогичных изделий по индивидуальному заказу населения (32.12.6); ремонт ювелирных изделий (95.25.2); ремонт металлоизделий бытового и хозяйственного назначения (95.29.4), ремонт предметов и изделий из металла (95.29.41);</w:t>
            </w:r>
            <w:proofErr w:type="gramEnd"/>
            <w:r>
              <w:t xml:space="preserve"> ремонт металлической галантереи, ключей, номерных знаков, указателей улиц (95.29.42); заточка пил, чертежных и других инструментов, ножей, ножниц, бритв, коньков и т.п. (95.29.43); ремонт прочих бытовых изделий и предметов личного пользования, не вошедших в другие группировки (95.29.9)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0,17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 xml:space="preserve">Ремонт мебели и предметов домашнего обихода (95.24), изготовление кухонной мебели по индивидуальному заказу населения (31.02.2), изготовление прочей мебели и отдельных </w:t>
            </w:r>
            <w:r>
              <w:lastRenderedPageBreak/>
              <w:t>мебельных деталей, не включенных в другие группировки по индивидуальному заказу населения (31.09.2)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lastRenderedPageBreak/>
              <w:t>0,56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0,17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>Деятельность в области фотографии (74.20)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0,21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>Предоставление услуг парикмахерскими и салонами красоты (96.02), предоставление парикмахерских услуг (96.02.1); предоставление косметических услуг парикмахерскими и салонами красоты (96.02.2)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0,17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 xml:space="preserve">Организация похорон и предоставление связанных с ними услуг (96.03); 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 (93.29.3)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0,21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proofErr w:type="gramStart"/>
            <w:r>
              <w:t>Строительство жилых и нежилых зданий (41.20); производство прочих строительно-монтажных работ (43.29); производство штукатурных работ (43.31); установка дверей (кроме автоматических и вращающихся), окон, дверных и оконных рам из дерева или прочих материалов (43.32.1); работы по установке внутренних лестниц, встроенных шкафов, встроенного кухонного оборудования (43.32.2); производство работ по внутренней отделке зданий (включая потолки, раздвижные и съемные перегородки и так далее) (43.32.3);</w:t>
            </w:r>
            <w:proofErr w:type="gramEnd"/>
            <w:r>
              <w:t xml:space="preserve"> работы по устройству покрытий полов и облицовке стен (43.33); производство малярных работ (43.34.1); производство стекольных работ (43.34.2); производство прочих отделочных и завершающих работ (43.39); производство кровельных работ (43.91); работы строительные специализированные прочие, не включенные в другие группировки (43.99)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0,17</w:t>
            </w:r>
          </w:p>
        </w:tc>
      </w:tr>
      <w:tr w:rsidR="00F0559C">
        <w:tc>
          <w:tcPr>
            <w:tcW w:w="504" w:type="dxa"/>
          </w:tcPr>
          <w:p w:rsidR="00F0559C" w:rsidRDefault="00F055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046" w:type="dxa"/>
          </w:tcPr>
          <w:p w:rsidR="00F0559C" w:rsidRDefault="00F0559C">
            <w:pPr>
              <w:pStyle w:val="ConsPlusNormal"/>
              <w:jc w:val="both"/>
            </w:pPr>
            <w:r>
              <w:t>Предоставление прочих бытовых услуг, за исключением услуг ломбардов, услуг по ремонту, техническому обслуживанию и мойке автомототранспортных средств</w:t>
            </w:r>
          </w:p>
        </w:tc>
        <w:tc>
          <w:tcPr>
            <w:tcW w:w="907" w:type="dxa"/>
          </w:tcPr>
          <w:p w:rsidR="00F0559C" w:rsidRDefault="00F055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F0559C" w:rsidRDefault="00F0559C">
            <w:pPr>
              <w:pStyle w:val="ConsPlusNormal"/>
              <w:jc w:val="center"/>
            </w:pPr>
            <w:r>
              <w:t>0,1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--------------------------------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&lt;*&gt; В случае оказания субъектом бытового обслуживания комплекса бытовых услуг, по которым установлены разные коэффициенты К</w:t>
      </w:r>
      <w:proofErr w:type="gramStart"/>
      <w:r>
        <w:t>2</w:t>
      </w:r>
      <w:proofErr w:type="gramEnd"/>
      <w:r>
        <w:t>, для расчета налога применяется значение коэффициента К2, рассчитанное как среднеарифметическое значение коэффициентов К2, установленных для соответствующих бытовых услуг.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1-я группа - черта города и микрорайон Южный;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2-я группа - поселения: Южно-</w:t>
      </w:r>
      <w:proofErr w:type="spellStart"/>
      <w:r>
        <w:t>Коспашское</w:t>
      </w:r>
      <w:proofErr w:type="spellEnd"/>
      <w:r>
        <w:t>, Северно-</w:t>
      </w:r>
      <w:proofErr w:type="spellStart"/>
      <w:r>
        <w:t>Коспашское</w:t>
      </w:r>
      <w:proofErr w:type="spellEnd"/>
      <w:r>
        <w:t xml:space="preserve"> (кроме микрорайона бывшей шахты N 42), Центрально-</w:t>
      </w:r>
      <w:proofErr w:type="spellStart"/>
      <w:r>
        <w:t>Коспашское</w:t>
      </w:r>
      <w:proofErr w:type="spellEnd"/>
      <w:r>
        <w:t xml:space="preserve">, </w:t>
      </w:r>
      <w:proofErr w:type="spellStart"/>
      <w:r>
        <w:t>Шахтинское</w:t>
      </w:r>
      <w:proofErr w:type="spellEnd"/>
      <w:r>
        <w:t>; Рудничный, Строитель;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lastRenderedPageBreak/>
        <w:t>3-я группа - Фрунзе, Володарского, Технический, ш. Ленина;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4-я группа - микрорайон</w:t>
      </w:r>
      <w:proofErr w:type="gramStart"/>
      <w:r>
        <w:t xml:space="preserve"> Б</w:t>
      </w:r>
      <w:proofErr w:type="gramEnd"/>
      <w:r>
        <w:t xml:space="preserve">ис (пос. Шахта), микрорайон бывшей шахты N 42 поселения Северно-Коспашского, </w:t>
      </w:r>
      <w:proofErr w:type="spellStart"/>
      <w:r>
        <w:t>Расик</w:t>
      </w:r>
      <w:proofErr w:type="spellEnd"/>
      <w:r>
        <w:t>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12.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ветеринарных услуг" равно 0,3.</w:t>
      </w:r>
    </w:p>
    <w:p w:rsidR="00F0559C" w:rsidRDefault="00F0559C">
      <w:pPr>
        <w:pStyle w:val="ConsPlusNormal"/>
        <w:spacing w:before="220"/>
        <w:ind w:firstLine="540"/>
        <w:jc w:val="both"/>
      </w:pPr>
      <w:r>
        <w:t>13. Для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метров"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</w:t>
      </w:r>
      <w:proofErr w:type="spellStart"/>
      <w:r>
        <w:t>Кву</w:t>
      </w:r>
      <w:proofErr w:type="spellEnd"/>
      <w:r>
        <w:t xml:space="preserve"> x </w:t>
      </w:r>
      <w:proofErr w:type="spellStart"/>
      <w:r>
        <w:t>Кпл</w:t>
      </w:r>
      <w:proofErr w:type="spellEnd"/>
      <w:r>
        <w:t>, где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proofErr w:type="spellStart"/>
      <w:r>
        <w:t>Кву</w:t>
      </w:r>
      <w:proofErr w:type="spellEnd"/>
      <w:r>
        <w:t xml:space="preserve"> - коэффициент, учитывающий особенности вида предоставляемых услуг (таблица 1);</w:t>
      </w:r>
    </w:p>
    <w:p w:rsidR="00F0559C" w:rsidRDefault="00F0559C">
      <w:pPr>
        <w:pStyle w:val="ConsPlusNormal"/>
        <w:spacing w:before="220"/>
        <w:ind w:firstLine="540"/>
        <w:jc w:val="both"/>
      </w:pPr>
      <w:proofErr w:type="spellStart"/>
      <w:r>
        <w:t>Кпл</w:t>
      </w:r>
      <w:proofErr w:type="spellEnd"/>
      <w:r>
        <w:t xml:space="preserve"> - коэффициент, учитывающий совокупную площадь спальных помещений всех объектов предоставления услуг по временному размещению и проживанию (таблица 2).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spacing w:before="280"/>
        <w:jc w:val="right"/>
        <w:outlineLvl w:val="2"/>
      </w:pPr>
      <w:r>
        <w:t>Таблица 1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Title"/>
        <w:jc w:val="center"/>
      </w:pPr>
      <w:r>
        <w:t xml:space="preserve">Значения коэффициента </w:t>
      </w:r>
      <w:proofErr w:type="spellStart"/>
      <w:r>
        <w:t>Кву</w:t>
      </w:r>
      <w:proofErr w:type="spellEnd"/>
      <w:r>
        <w:t>, учитывающего особенности вида</w:t>
      </w:r>
    </w:p>
    <w:p w:rsidR="00F0559C" w:rsidRDefault="00F0559C">
      <w:pPr>
        <w:pStyle w:val="ConsPlusTitle"/>
        <w:jc w:val="center"/>
      </w:pPr>
      <w:r>
        <w:t>предоставляемых услуг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757"/>
      </w:tblGrid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  <w:jc w:val="center"/>
            </w:pPr>
            <w:r>
              <w:t>Вид деятельности (вид предоставляемых услуг)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Значения показателя </w:t>
            </w:r>
            <w:proofErr w:type="spellStart"/>
            <w:r>
              <w:t>Кву</w:t>
            </w:r>
            <w:proofErr w:type="spellEnd"/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>0,25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jc w:val="right"/>
        <w:outlineLvl w:val="2"/>
      </w:pPr>
      <w:r>
        <w:t>Таблица 2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Title"/>
        <w:jc w:val="center"/>
      </w:pPr>
      <w:r>
        <w:t xml:space="preserve">Значения коэффициента </w:t>
      </w:r>
      <w:proofErr w:type="spellStart"/>
      <w:r>
        <w:t>Кпл</w:t>
      </w:r>
      <w:proofErr w:type="spellEnd"/>
      <w:r>
        <w:t>, учитывающего совокупную площадь</w:t>
      </w:r>
    </w:p>
    <w:p w:rsidR="00F0559C" w:rsidRDefault="00F0559C">
      <w:pPr>
        <w:pStyle w:val="ConsPlusTitle"/>
        <w:jc w:val="center"/>
      </w:pPr>
      <w:r>
        <w:t>спальных помещений всех объектов предоставления услуг</w:t>
      </w:r>
    </w:p>
    <w:p w:rsidR="00F0559C" w:rsidRDefault="00F0559C">
      <w:pPr>
        <w:pStyle w:val="ConsPlusTitle"/>
        <w:jc w:val="center"/>
      </w:pPr>
      <w:r>
        <w:t>по временному размещению и проживанию</w:t>
      </w:r>
    </w:p>
    <w:p w:rsidR="00F0559C" w:rsidRDefault="00F0559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757"/>
      </w:tblGrid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  <w:jc w:val="center"/>
            </w:pPr>
            <w:r>
              <w:t>Совокупная площадь спальных помещений всех объектов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 xml:space="preserve">Значение показателя </w:t>
            </w:r>
            <w:proofErr w:type="spellStart"/>
            <w:r>
              <w:t>Кпл</w:t>
            </w:r>
            <w:proofErr w:type="spellEnd"/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</w:pPr>
            <w:r>
              <w:t>До 100 кв. м включительно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>0,8</w:t>
            </w:r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</w:pPr>
            <w:r>
              <w:t>Свыше 100 кв. м до 200 кв. м включительно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>0,85</w:t>
            </w:r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</w:pPr>
            <w:r>
              <w:t>Свыше 200 кв. м до 300 кв. м включительно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>0,9</w:t>
            </w:r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</w:pPr>
            <w:r>
              <w:t>Свыше 300 кв. м до 400 кв. м включительно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>0,95</w:t>
            </w:r>
          </w:p>
        </w:tc>
      </w:tr>
      <w:tr w:rsidR="00F0559C">
        <w:tc>
          <w:tcPr>
            <w:tcW w:w="454" w:type="dxa"/>
          </w:tcPr>
          <w:p w:rsidR="00F0559C" w:rsidRDefault="00F055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F0559C" w:rsidRDefault="00F0559C">
            <w:pPr>
              <w:pStyle w:val="ConsPlusNormal"/>
            </w:pPr>
            <w:r>
              <w:t>Свыше 400 кв. м</w:t>
            </w:r>
          </w:p>
        </w:tc>
        <w:tc>
          <w:tcPr>
            <w:tcW w:w="1757" w:type="dxa"/>
          </w:tcPr>
          <w:p w:rsidR="00F0559C" w:rsidRDefault="00F0559C">
            <w:pPr>
              <w:pStyle w:val="ConsPlusNormal"/>
              <w:jc w:val="center"/>
            </w:pPr>
            <w:r>
              <w:t>1,0</w:t>
            </w:r>
          </w:p>
        </w:tc>
      </w:tr>
    </w:tbl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ind w:firstLine="540"/>
        <w:jc w:val="both"/>
      </w:pPr>
      <w:r>
        <w:lastRenderedPageBreak/>
        <w:t>14. Для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посетителей" равно 1.</w:t>
      </w:r>
    </w:p>
    <w:p w:rsidR="00F0559C" w:rsidRDefault="00F0559C">
      <w:pPr>
        <w:pStyle w:val="ConsPlusNormal"/>
        <w:jc w:val="both"/>
      </w:pPr>
    </w:p>
    <w:p w:rsidR="00F0559C" w:rsidRDefault="00F0559C">
      <w:pPr>
        <w:pStyle w:val="ConsPlusNormal"/>
        <w:jc w:val="both"/>
      </w:pPr>
    </w:p>
    <w:sectPr w:rsidR="00F0559C" w:rsidSect="00640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9C"/>
    <w:rsid w:val="00115161"/>
    <w:rsid w:val="003A6972"/>
    <w:rsid w:val="00810008"/>
    <w:rsid w:val="00834E81"/>
    <w:rsid w:val="009F7D4C"/>
    <w:rsid w:val="00C27951"/>
    <w:rsid w:val="00C7362A"/>
    <w:rsid w:val="00F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5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5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3641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6</cp:revision>
  <dcterms:created xsi:type="dcterms:W3CDTF">2018-12-13T12:06:00Z</dcterms:created>
  <dcterms:modified xsi:type="dcterms:W3CDTF">2018-12-13T12:12:00Z</dcterms:modified>
</cp:coreProperties>
</file>