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52" w:rsidRDefault="000C1B52">
      <w:pPr>
        <w:pStyle w:val="ConsPlusTitle"/>
        <w:jc w:val="center"/>
      </w:pPr>
      <w:bookmarkStart w:id="0" w:name="P378"/>
      <w:bookmarkEnd w:id="0"/>
      <w:r>
        <w:t>ПЕРЕЧЕНЬ</w:t>
      </w:r>
    </w:p>
    <w:p w:rsidR="000C1B52" w:rsidRDefault="000C1B52">
      <w:pPr>
        <w:pStyle w:val="ConsPlusTitle"/>
        <w:jc w:val="center"/>
      </w:pPr>
      <w:r>
        <w:t>ИСТОЧНИКОВ ДОХОДОВ, ЗАКРЕПЛЯЕМЫХ ЗА ТЕРРИТОРИАЛЬНЫМИ</w:t>
      </w:r>
    </w:p>
    <w:p w:rsidR="000C1B52" w:rsidRDefault="000C1B52">
      <w:pPr>
        <w:pStyle w:val="ConsPlusTitle"/>
        <w:jc w:val="center"/>
      </w:pPr>
      <w:r>
        <w:t>ОРГАНАМИ, ОСУЩЕСТВЛЯЮЩИМИ ПОЛНОМОЧИЯ ГЛАВНЫХ</w:t>
      </w:r>
    </w:p>
    <w:p w:rsidR="000C1B52" w:rsidRDefault="000C1B52">
      <w:pPr>
        <w:pStyle w:val="ConsPlusTitle"/>
        <w:jc w:val="center"/>
      </w:pPr>
      <w:r>
        <w:t>АДМИНИСТРАТОРОВ (АДМИНИСТРАТОРОВ) ДОХОДОВ БЮДЖЕТ</w:t>
      </w:r>
      <w:r w:rsidR="00295EBA">
        <w:t>А</w:t>
      </w:r>
    </w:p>
    <w:p w:rsidR="000C1B52" w:rsidRDefault="00295EBA">
      <w:pPr>
        <w:pStyle w:val="ConsPlusTitle"/>
        <w:jc w:val="center"/>
      </w:pPr>
      <w:r>
        <w:t>ПЕРМСКОГО КРАЯ</w:t>
      </w:r>
      <w:r w:rsidR="0020458C">
        <w:t xml:space="preserve"> РФ</w:t>
      </w:r>
      <w:r w:rsidR="000C1B52">
        <w:t xml:space="preserve"> И МЕСТНЫХ БЮДЖЕТОВ</w:t>
      </w:r>
      <w:bookmarkStart w:id="1" w:name="_GoBack"/>
      <w:bookmarkEnd w:id="1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005"/>
        <w:gridCol w:w="6271"/>
        <w:gridCol w:w="27"/>
      </w:tblGrid>
      <w:tr w:rsidR="000C1B52" w:rsidTr="00463B38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0C1B52" w:rsidRDefault="000C1B52">
            <w:pPr>
              <w:pStyle w:val="ConsPlusNormal"/>
              <w:jc w:val="center"/>
            </w:pP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  <w:jc w:val="center"/>
            </w:pPr>
          </w:p>
          <w:p w:rsidR="00CD59FD" w:rsidRDefault="00CD59FD">
            <w:pPr>
              <w:pStyle w:val="ConsPlusNormal"/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center"/>
            </w:pPr>
            <w:r>
              <w:t>Наименование кода классификации доходов бюджетов субъектов Российской Федерации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center"/>
            </w:pPr>
            <w:r>
              <w:t>2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182 1 01 01012 02 1000 110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182 1 01 01012 02 2100 110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182 1 01 01012 02 2200 110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182 1 01 01012 02 3000 110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182 1 01 01012 02 4000 110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прибыль организаций (за исключением консолидированных групп налогоплательщиков), зачисляемый в бюджеты субъектов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182 1 01 01012 02 5000 110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182 1 01 01014 02 1000 110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182 1 01 01014 02 2100 110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182 1 01 01014 02 2200 110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182 1 01 01014 02 3000 110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182 1 01 01014 02 4000 110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субъектов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182 1 01 01014 02 5000 110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182 1 01 01016 02 1000 110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организаций, уплачиваемый международными холдинговыми компаниями,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182 1 01 01016 02 2100 110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организаций, уплачиваемый международными холдинговыми компаниями, зачисляемый в бюджеты субъектов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182 1 01 01016 02 2200 110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организаций, уплачиваемый международными холдинговыми компаниями, зачисляемый в бюджеты субъектов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182 1 01 01016 02 3000 110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организаций, уплачиваемый международными холдинговыми компаниями,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182 1 01 01016 02 4000 110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прибыль организаций, уплачиваемый международными холдинговыми компаниями, зачисляемый в бюджеты субъектов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182 1 01 01016 02 5000 110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прибыль организаций, уплачиваемый международными холдинговыми компаниями,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182 1 01 02010 01 1000 110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</w:t>
            </w:r>
            <w:r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182 1 01 02010 01 2100 110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182 1 01 02010 01 2200 110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182 1 01 02010 01 3000 110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182 1 01 02010 01 4000 110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182 1 01 02010 01 5000 110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182 1 01 02020 01 1000 110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182 1 01 02020 01 2100 110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182 1 01 02020 01 2200 110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182 1 01 02020 01 3000 110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182 1 01 02020 01 4000 110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182 1 01 02020 01 5000 110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182 1 01 02030 01 1000 110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182 1 01 02030 01 2100 110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</w:t>
            </w:r>
            <w:r>
              <w:lastRenderedPageBreak/>
              <w:t>кодекса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182 1 01 02030 01 2200 110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182 1 01 02030 01 3000 110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182 1 01 02030 01 4000 110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182 1 01 02030 01 5000 110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5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182 1 01 02040 01 1000 110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6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182 1 01 02040 01 4000 110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7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182 1 01 02040 01 5000 110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8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182 1 01 02050 01 1000 110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</w:t>
            </w:r>
            <w:r>
              <w:lastRenderedPageBreak/>
              <w:t>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lastRenderedPageBreak/>
              <w:t>182 1 01 02050 01 2100 110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182 1 01 02050 01 2200 110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182 1 01 02050 01 3000 110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182 1 01 02050 01 4000 110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182 1 01 02050 01 5000 110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182 1 01 02080 01 1000 110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>
              <w:lastRenderedPageBreak/>
              <w:t>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lastRenderedPageBreak/>
              <w:t>182 1 01 02080 01 2100 110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182 1 01 02080 01 2200 110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182 1 01 02080 01 3000 110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182 1 01 02080 01 4000 110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182 1 01 02080 01 5000 110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возврата)"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182 1 01 02090 01 1000 110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</w:t>
            </w:r>
            <w:r>
              <w:lastRenderedPageBreak/>
              <w:t>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lastRenderedPageBreak/>
              <w:t>182 1 01 02090 01 2100 110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182 1 01 02090 01 2200 110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182 1 01 02090 01 3000 110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182 1 01 02090 01 4000 110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182 1 01 02090 01 5000 110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182 1 01 02100 01 1000 110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</w:t>
            </w:r>
            <w:r>
              <w:lastRenderedPageBreak/>
              <w:t>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lastRenderedPageBreak/>
              <w:t>182 1 01 02100 01 2100 110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182 1 01 02100 01 2200 110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182 1 01 02100 01 3000 110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182 1 01 02100 01 4000 110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182 1 01 02100 01 5000 110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182 1 01 02110 01 1000 110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</w:t>
            </w:r>
            <w:r>
              <w:lastRenderedPageBreak/>
              <w:t>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lastRenderedPageBreak/>
              <w:t>182 1 01 02110 01 2100 110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182 1 01 02110 01 2200 110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182 1 01 02110 01 3000 110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182 1 01 02110 01 4000 110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182 1 01 02110 01 5000 110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182 1 03 02011 01 1000 110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lastRenderedPageBreak/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182 1 03 02011 01 2100 110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182 1 03 02011 01 2200 110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182 1 03 02011 01 3000 110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182 1 03 02011 01 4000 110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 xml:space="preserve">), производимый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182 1 03 02011 01 5000 110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182 1 03 02012 01 1000 110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этиловый спирт из непищевого сырья,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182 1 03 02012 01 2100 110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этиловый спирт из непищевого сырья, производимый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182 1 03 02012 01 2200 110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этиловый спирт из непищевого сырья, производимый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182 1 03 02012 01 3000 110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этиловый спирт из непищевого сырья,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182 1 03 02012 01 4000 110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непищевого сырья, производимый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182 1 03 02012 01 5000 110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этиловый спирт из непищевого сырья,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182 1 03 02013 01 1000 110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182 1 03 02013 01 2100 110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производимый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182 1 03 02013 01 2200 110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производимый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182 1 03 02013 01 3000 110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182 1 03 02013 01 4000 110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 xml:space="preserve">), производимый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182 1 03 02013 01 5000 110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спиртосодержащую продукцию, производимую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спиртосодержащую продукцию, производимую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спиртосодержащую продукцию, производимую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спиртосодержащую продукцию, производимую на </w:t>
            </w:r>
            <w:r>
              <w:lastRenderedPageBreak/>
              <w:t>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182 1 03 02020 01 4000 110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спиртосодержащую продукцию, производимую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спиртосодержащую продукцию, производимую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182 1 03 02021 01 1000 110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182 1 03 02021 01 2100 110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182 1 03 02021 01 2200 110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182 1 03 02021 01 3000 110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182 1 03 02021 01 4000 110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182 1 03 02021 01 5000 110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182 1 03 02022 01 1000 110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производимые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182 1 03 02022 01 2100 110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производимые на территории Российской Федерации из подакцизного винограда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182 1 03 02022 01 2200 110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производимые на территории Российской Федерации из подакцизного винограда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182 1 03 02022 01 3000 110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производимые на территории Российской Федерации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182 1 03 02022 01 4000 110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виноматериалы, виноградное сусло, производимые на территории Российской Федерации из подакцизного винограда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182 1 03 02022 01 5000 110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виноматериалы, виноградное сусло, производимые на территории Российской Федерации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182 1 03 02041 01 1000 110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автомобильный бензин,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182 1 03 02041 01 2100 110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автомобильный бензин, производимый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182 1 03 02041 01 2200 110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автомобильный бензин, производимый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182 1 03 02041 01 3000 110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автомобильный бензин,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182 1 03 02041 01 4000 110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автомобильный бензин, производимый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182 1 03 02041 01 5000 110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автомобильный бензин,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182 1 03 02042 01 1000 110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прямогонный бензин,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182 1 03 02042 01 2100 110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прямогонный бензин, производимый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182 1 03 02042 01 2200 110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прямогонный бензин, производимый на территории </w:t>
            </w:r>
            <w:r>
              <w:lastRenderedPageBreak/>
              <w:t>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182 1 03 02042 01 3000 110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прямогонный бензин,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182 1 03 02042 01 4000 110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прямогонный бензин, производимый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182 1 03 02042 01 5000 110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прямогонный бензин,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182 1 03 02070 01 1000 110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дизельное топливо, производимое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182 1 03 02070 01 2100 110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дизельное топливо, производимое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182 1 03 02070 01 2200 110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дизельное топливо, производимое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182 1 03 02070 01 3000 110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дизельное топливо, производимое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182 1 03 02070 01 4000 110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дизельное топливо, производимое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182 1 03 02070 01 5000 110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дизельное топливо, производимое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182 1 03 02080 01 1000 110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182 1 03 02080 01 2100 110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182 1 03 02080 01 2200 110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производимые на территории Российской Федерации (проценты по </w:t>
            </w:r>
            <w:r>
              <w:lastRenderedPageBreak/>
              <w:t>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182 1 03 02080 01 3000 110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182 1 03 02080 01 4000 110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производимые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182 1 03 02080 01 5000 110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9FD" w:rsidRDefault="00CD59FD">
            <w:pPr>
              <w:pStyle w:val="ConsPlusNormal"/>
              <w:jc w:val="both"/>
            </w:pPr>
            <w: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9FD" w:rsidRDefault="00CD59FD">
            <w:pPr>
              <w:pStyle w:val="ConsPlusNormal"/>
              <w:jc w:val="both"/>
            </w:pPr>
            <w: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9FD" w:rsidRDefault="00CD59FD">
            <w:pPr>
              <w:pStyle w:val="ConsPlusNormal"/>
              <w:jc w:val="both"/>
            </w:pPr>
            <w: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</w:t>
            </w:r>
            <w:r>
              <w:lastRenderedPageBreak/>
              <w:t>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182 1 03 02090 01 4000 110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182 1 03 02091 01 1000 110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вина, игристые вина (шампанские), производимые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182 1 03 02091 01 2100 110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вина, игристые вина (шампанские), производимые на территории Российской Федерации из подакцизного винограда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182 1 03 02091 01 2200 110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вина, игристые вина (шампанские), производимые на территории Российской Федерации из подакцизного винограда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182 1 03 02091 01 3000 110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вина, игристые вина (шампанские), производимые на территории Российской Федерации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182 1 03 02091 01 4000 110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вина, игристые вина (шампанские), производимые на территории Российской Федерации из подакцизного винограда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182 1 03 02091 01 5000 110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вина, игристые вина (шампанские), производимые на территории Российской Федерации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182 1 03 02100 01 1000 110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пиво, производимое на территории Российской Федерации (сумма платежа (перерасчеты, недоимка и задолженность по соответствующему платежу, в том числе по </w:t>
            </w:r>
            <w:r>
              <w:lastRenderedPageBreak/>
              <w:t>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182 1 03 02100 01 2100 110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182 1 03 02100 01 2200 110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182 1 03 02100 01 3000 110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182 1 03 02100 01 4000 110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пиво, производимое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182 1 03 02100 01 5000 110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182 1 03 02111 01 1000 110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182 1 03 02111 01 2100 110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182 1 03 02111 01 2200 110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(проценты по соответствующему платежу))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182 1 03 02111 01 3000 110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182 1 03 02111 01 4000 110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182 1 03 02111 01 5000 110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182 1 03 02112 01 1000 110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182 1 03 02112 01 2100 110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182 1 03 02112 01 2200 110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182 1 03 02112 01 3000 110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182 1 03 02112 01 4000 110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182 1 03 02112 01 5000 110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182 1 03 02120 01 1000 110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182 1 03 02120 01 2100 110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182 1 03 02120 01 2200 110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182 1 03 02120 01 3000 110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182 1 03 02120 01 4000 110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 xml:space="preserve">, медовуху, производимые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182 1 03 02120 01 5000 110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182 1 03 02130 01 1000 110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182 1 03 02130 01 2100 110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182 1 03 02130 01 2200 110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182 1 03 02130 01 3000 110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182 1 03 02130 01 4000 110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182 1 03 02130 01 5000 110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182 1 03 02340 01 1000 110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вина с защищенным географическим указанием, с </w:t>
            </w:r>
            <w:r>
              <w:lastRenderedPageBreak/>
              <w:t>защищенным наименованием места происхождения, за исключением игристых вин (шампанских),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182 1 03 02340 01 2100 110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182 1 03 02340 01 2200 110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182 1 03 02340 01 3000 110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182 1 03 02340 01 4000 110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182 1 03 02340 01 5000 110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182 1 03 02350 01 1000 110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182 1 03 02350 01 2100 110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182 1 03 02350 01 2200 110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182 1 03 02350 01 3000 110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182 1 03 02350 01 4000 110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182 1 03 02350 01 5000 110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182 1 05 01011 01 1000 110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182 1 05 01011 01 2100 110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182 1 05 01011 01 2200 110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182 1 05 01011 01 3000 110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182 1 05 01011 01 4000 110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182 1 05 01011 01 5000 110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182 1 05 01012 01 1000 110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182 1 05 01012 01 2100 110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182 1 05 01012 01 2200 110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182 1 05 01012 01 3000 110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182 1 05 01012 01 4000 110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182 1 05 01012 01 5000 110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182 1 05 01021 01 1000 110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182 1 05 01021 01 2100 110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182 1 05 01021 01 2200 110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182 1 05 01021 01 3000 110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182 1 05 01021 01 4000 110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182 1 05 01021 01 5000 110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lastRenderedPageBreak/>
              <w:t>расходов (в том числе минимальный налог, зачисляемый в бюджеты субъектов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182 1 05 01022 01 1000 110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182 1 05 01022 01 2100 110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182 1 05 01022 01 2200 110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182 1 05 01022 01 3000 110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182 1 05 01022 01 4000 110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182 1 05 01022 01 5000 110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182 1 05 01050 01 1000 110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182 1 05 01050 01 2100 110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182 1 05 01050 01 2200 110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182 1 05 01050 01 3000 110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</w:t>
            </w:r>
            <w:r>
              <w:lastRenderedPageBreak/>
              <w:t>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182 1 05 01050 01 4000 110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(за налоговые периоды, истекшие до 1 января 2016 года)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182 1 05 01050 01 5000 110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182 1 05 02010 02 1000 110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182 1 05 02010 02 2100 110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182 1 05 02010 02 2200 110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182 1 05 02010 02 3000 110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182 1 05 02010 02 4000 110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Единый налог на вмененный доход для отдельных видов деятельности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182 1 05 02010 02 5000 110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182 1 05 02020 02 1000 110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182 1 05 02020 02 2100 110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182 1 05 02020 02 2200 110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182 1 05 02020 02 3000 110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lastRenderedPageBreak/>
              <w:t>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182 1 05 02020 02 4000 110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Единый налог на вмененный доход для отдельных видов деятельности (за налоговые периоды, истекшие до 1 января 2011 года)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182 1 05 02020 02 5000 110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182 1 05 03010 01 1000 110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182 1 05 03010 01 2100 110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182 1 05 03010 01 2200 110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182 1 05 03010 01 3000 110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182 1 05 03010 01 4000 110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Единый сельскохозяйственный налог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182 1 05 03010 01 5000 110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182 1 05 03020 01 1000 110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182 1 05 03020 01 2100 110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182 1 05 03020 01 2200 110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182 1 05 03020 01 3000 110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182 1 05 03020 01 4000 110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Единый сельскохозяйственный налог (за налоговые периоды, истекшие до 1 января 2011 года)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182 1 05 03020 01 5000 110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Единый сельскохозяйственный налог (за налоговые периоды, </w:t>
            </w:r>
            <w:r>
              <w:lastRenderedPageBreak/>
              <w:t>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182 1 05 04010 02 1000 110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182 1 05 04010 02 2100 110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182 1 05 04010 02 2200 110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182 1 05 04010 02 3000 110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182 1 05 04010 02 4000 110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городских округов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182 1 05 04010 02 5000 110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182 1 05 04020 02 1000 110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182 1 05 04020 02 2100 110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182 1 05 04020 02 2200 110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182 1 05 04020 02 3000 110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182 1 05 04020 02 4000 110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182 1 05 04020 02 5000 110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182 1 05 04030 02 1000 110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182 1 05 04030 02 2100 110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182 1 05 04030 02 2200 110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городов федерального значения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182 1 05 04030 02 3000 110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182 1 05 04030 02 4000 110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городов федерального значения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182 1 05 04030 02 5000 110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городов федерального значения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182 1 05 04040 02 1000 110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182 1 05 04040 02 2100 110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182 1 05 04040 02 2200 110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182 1 05 04040 02 3000 110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городского округа с </w:t>
            </w:r>
            <w:r>
              <w:lastRenderedPageBreak/>
              <w:t>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182 1 05 04040 02 4000 110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городского округа с внутригородским делением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182 1 05 04040 02 5000 110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182 1 05 04050 02 1000 110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182 1 05 04050 02 2100 110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внутригородских районов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182 1 05 04050 02 2200 110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внутригородских районов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182 1 05 04050 02 3000 110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182 1 05 04050 02 4000 110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внутригородских районов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182 1 05 04050 02 5000 110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внутригородских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182 1 05 04060 02 1000 110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182 1 05 04060 02 2100 110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182 1 05 04060 02 2200 110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Налог, взимаемый в связи с применением патентной системы </w:t>
            </w:r>
            <w:r>
              <w:lastRenderedPageBreak/>
              <w:t>налогообложения, зачисляемый в бюджеты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lastRenderedPageBreak/>
              <w:t>182 1 05 04060 02 3000 110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182 1 05 04060 02 4000 110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182 1 05 04060 02 5000 110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182 1 05 05010 02 1000 110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Торговый сбор, уплачиваемый на территориях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182 1 05 05010 02 2100 110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Торговый сбор, уплачиваемый на территориях городов федерального значения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182 1 05 05010 02 2200 110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Торговый сбор, уплачиваемый на территориях городов федерального значения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182 1 05 05010 02 3000 110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Торговый сбор, уплачиваемый на территориях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182 1 05 05010 02 4000 110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Торговый сбор, уплачиваемый на территориях городов федерального значения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182 1 05 05010 02 5000 110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Торговый сбор, уплачиваемый на территориях городов федерального значения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182 1 05 06000 01 1000 110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профессиональный доход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182 1 05 06000 01 2100 110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профессиональный доход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182 1 05 06000 01 4000 110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профессиональный доход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182 1 05 06000 01 5000 110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профессиональный доход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lastRenderedPageBreak/>
              <w:t>182 1 06 01020 04 1000 110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182 1 06 01020 04 2100 110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182 1 06 01020 04 2200 110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182 1 06 01020 04 3000 110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182 1 06 01020 04 4000 110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182 1 06 01020 04 5000 110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182 1 06 01020 14 1000 110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182 1 06 01020 14 2100 110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182 1 06 01020 14 2200 110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182 1 06 01020 14 3000 110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182 1 06 01020 14 4000 110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имущество физических лиц, взимаемый по ставкам, </w:t>
            </w:r>
            <w:r>
              <w:lastRenderedPageBreak/>
              <w:t>применяемым к объектам налогообложения, расположенным в границах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lastRenderedPageBreak/>
              <w:t>182 1 06 01020 14 5000 110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182 1 06 01030 05 1000 110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182 1 06 01030 05 2100 110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182 1 06 01030 05 2200 110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182 1 06 01030 05 3000 110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182 1 06 01030 05 4000 110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межселенных территорий (прочие поступления) </w:t>
            </w:r>
            <w:hyperlink w:anchor="P4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182 1 06 01030 05 5000 110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182 1 06 01030 10 1000 110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182 1 06 01030 10 2100 110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Default="00CD59FD">
            <w:pPr>
              <w:pStyle w:val="ConsPlusNormal"/>
            </w:pPr>
            <w:r>
              <w:t>182 1 06 01030 10 2200 110</w:t>
            </w:r>
          </w:p>
        </w:tc>
        <w:tc>
          <w:tcPr>
            <w:tcW w:w="6271" w:type="dxa"/>
            <w:shd w:val="clear" w:color="auto" w:fill="auto"/>
          </w:tcPr>
          <w:p w:rsidR="00CD59FD" w:rsidRDefault="00CD59FD">
            <w:pPr>
              <w:pStyle w:val="ConsPlusNormal"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</w:t>
            </w:r>
            <w:r>
              <w:lastRenderedPageBreak/>
              <w:t>платежу)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182 1 06 01030 10 3000 110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182 1 06 01030 10 4000 110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182 1 06 01030 10 5000 110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182 1 06 02010 02 1000 110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182 1 06 02010 02 2100 110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182 1 06 02010 02 2200 110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не входящему в Единую систему газоснабжения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182 1 06 02010 02 3000 110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182 1 06 02010 02 4000 110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имущество организаций по имуществу, не входящему в Единую систему газоснабжения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182 1 06 02010 02 5000 110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не входящему в Единую систему газоснабжения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182 1 06 02020 02 1000 110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182 1 06 02020 02 2100 110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входящему в Единую систему газоснабжения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182 1 06 02020 02 2200 110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имущество организаций по имуществу, входящему в Единую систему газоснабжения (проценты по соответствующему </w:t>
            </w:r>
            <w:r w:rsidRPr="00463B38">
              <w:lastRenderedPageBreak/>
              <w:t>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182 1 06 02020 02 3000 110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182 1 06 02020 02 4000 110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имущество организаций по имуществу, входящему в Единую систему газоснабжения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182 1 06 02020 02 5000 110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организаций по имуществу, входящему в Единую систему газоснабжения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182 1 06 04011 02 1000 110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182 1 06 04011 02 2100 110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организаций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182 1 06 04011 02 2200 110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организаций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182 1 06 04011 02 3000 110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182 1 06 04011 02 4000 110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Транспортный налог с организаций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182 1 06 04011 02 5000 110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организаций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182 1 06 04012 02 1000 110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182 1 06 04012 02 2100 110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физических лиц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182 1 06 04012 02 2200 110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физических лиц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182 1 06 04012 02 3000 110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182 1 06 04012 02 4000 110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Транспортный налог с физических лиц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182 1 06 04012 02 5000 110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Транспортный налог с физических лиц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182 1 06 05000 02 1000 110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игорный бизнес (сумма платежа (перерасчеты, </w:t>
            </w:r>
            <w:r w:rsidRPr="00463B38"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182 1 06 05000 02 2100 110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игорный бизнес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182 1 06 05000 02 2200 110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игорный бизнес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182 1 06 05000 02 3000 110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игорный бизнес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182 1 06 05000 02 4000 110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игорный бизнес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182 1 06 05000 02 5000 110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игорный бизнес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182 1 06 06032 04 1000 110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182 1 06 06032 04 2100 110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182 1 06 06032 04 2200 110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182 1 06 06032 04 3000 110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182 1 06 06032 04 4000 110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с организаций, обладающих земельным участком, расположенным в границах городских округов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182 1 06 06032 04 5000 110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182 1 06 06032 14 1000 110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182 1 06 06032 14 2100 110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182 1 06 06032 14 2200 110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с организаций, обладающих земельным </w:t>
            </w:r>
            <w:r w:rsidRPr="00463B38">
              <w:lastRenderedPageBreak/>
              <w:t>участком, расположенным в границах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lastRenderedPageBreak/>
              <w:t>182 1 06 06032 14 3000 110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182 1 06 06032 14 4000 110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182 1 06 06032 14 5000 110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муниципальных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182 1 06 06033 05 2100 110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межселенных территорий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182 1 06 06033 05 2200 110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межселенных территорий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182 1 06 06033 05 3000 110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182 1 06 06033 05 4000 110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с организаций, обладающих земельным участком, расположенным в границах межселенных территорий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182 1 06 06033 05 5000 110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межселенных территорий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182 1 06 06033 10 1000 110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182 1 06 06033 10 2100 110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182 1 06 06033 10 2200 110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182 1 06 06033 10 3000 110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182 1 06 06033 10 4000 110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с организаций, обладающих земельным участком, расположенным в границах сельских поселений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182 1 06 06033 10 5000 110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организаций,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182 1 06 06042 04 1000 110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182 1 06 06042 04 2100 110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182 1 06 06042 04 2200 110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182 1 06 06042 04 3000 110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182 1 06 06042 04 4000 110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с физических лиц, обладающих земельным участком, расположенным в границах городских округов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182 1 06 06042 04 5000 110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182 1 06 06042 14 1000 110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182 1 06 06042 14 2100 110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lastRenderedPageBreak/>
              <w:t>182 1 06 06042 14 2200 110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182 1 06 06042 14 3000 110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182 1 06 06042 14 4000 110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182 1 06 06042 14 5000 110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муниципальных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182 1 06 06043 05 2100 110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межселенных территорий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182 1 06 06043 05 2200 110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межселенных территорий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182 1 06 06043 05 3000 110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182 1 06 06043 05 4000 110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с физических лиц, обладающих земельным участком, расположенным в границах межселенных территорий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182 1 06 06043 05 5000 110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межселенных территорий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182 1 06 06043 10 1000 110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182 1 06 06043 10 2100 110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182 1 06 06043 10 2200 110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182 1 06 06043 10 3000 110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182 1 06 06043 10 4000 110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с физических лиц, обладающих земельным участком, расположенным в границах сельских поселений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182 1 06 06043 10 5000 110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с физических лиц,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182 1 07 01020 01 1000 110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182 1 07 01020 01 2100 110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182 1 07 01020 01 2200 110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общераспространенных полезных ископаемых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182 1 07 01020 01 3000 110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182 1 07 01020 01 4000 110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добычу общераспространенных полезных ископаемых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182 1 07 01020 01 5000 110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общераспространенных полезных ископаемых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182 1 07 01030 01 1000 110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182 1 07 01030 01 2100 110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</w:t>
            </w:r>
            <w:r w:rsidRPr="00463B38">
              <w:lastRenderedPageBreak/>
              <w:t>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lastRenderedPageBreak/>
              <w:t>182 1 07 01030 01 2200 110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182 1 07 01030 01 3000 110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182 1 07 01030 01 4000 110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182 1 07 01030 01 5000 110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182 1 07 01050 01 1000 110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полезных ископаемых в виде природных алмазов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182 1 07 01050 01 2100 110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полезных ископаемых в виде природных алмазов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182 1 07 01050 01 2200 110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полезных ископаемых в виде природных алмазов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182 1 07 01050 01 3000 110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полезных ископаемых в виде природных алмазов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182 1 07 01050 01 4000 110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добычу полезных ископаемых в виде природных алмазов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182 1 07 01050 01 5000 110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добычу полезных ископаемых в виде природных алмазов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182 1 07 01060 01 1000 110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полезных ископаемых в виде угля (за исключением угля коксующегося)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182 1 07 01060 01 2100 110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полезных ископаемых в виде угля (за исключением угля коксующегося)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182 1 07 01060 01 2200 110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полезных ископаемых в виде угля (за исключением угля коксующегося)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182 1 07 01060 01 3000 110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полезных ископаемых в виде угля (за исключением угля коксующегося)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182 1 07 01060 01 4000 110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полезных ископаемых в виде угля (за исключением угля коксующегося)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182 1 07 01060 01 5000 110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полезных ископаемых в виде угля (за исключением угля коксующегося)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182 1 07 01080 01 1000 110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463B38">
              <w:t>штаффелитовых</w:t>
            </w:r>
            <w:proofErr w:type="spellEnd"/>
            <w:r w:rsidRPr="00463B38">
              <w:t xml:space="preserve"> руд, апатит-магнетитовых, маложелезистых апатитовых руд, апатитовых и фосфоритовых руд)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182 1 07 01080 01 2100 110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 апатит-нефелиновых, апатит-</w:t>
            </w:r>
            <w:proofErr w:type="spellStart"/>
            <w:r w:rsidRPr="00463B38">
              <w:t>штаффелитовых</w:t>
            </w:r>
            <w:proofErr w:type="spellEnd"/>
            <w:r w:rsidRPr="00463B38">
              <w:t xml:space="preserve"> </w:t>
            </w:r>
            <w:r w:rsidRPr="00463B38">
              <w:lastRenderedPageBreak/>
              <w:t>руд, апатит-магнетитовых, маложелезистых апатитовых руд, апатитовых и фосфоритовых руд)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lastRenderedPageBreak/>
              <w:t>182 1 07 01080 01 2200 110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463B38">
              <w:t>штаффелитовых</w:t>
            </w:r>
            <w:proofErr w:type="spellEnd"/>
            <w:r w:rsidRPr="00463B38">
              <w:t xml:space="preserve"> руд, апатит-магнетитовых, маложелезистых апатитовых руд, апатитовых и фосфоритовых руд)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182 1 07 01080 01 3000 110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 апатит-нефелиновых, апатит-</w:t>
            </w:r>
            <w:proofErr w:type="spellStart"/>
            <w:r w:rsidRPr="00463B38">
              <w:t>штаффелитовых</w:t>
            </w:r>
            <w:proofErr w:type="spellEnd"/>
            <w:r w:rsidRPr="00463B38">
              <w:t xml:space="preserve"> руд, апатит-магнетитовых, маложелезистых апатитовых руд, апатитовых и фосфоритовых руд)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182 1 07 01080 01 4000 110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апатит-нефелиновых, апатит-</w:t>
            </w:r>
            <w:proofErr w:type="spellStart"/>
            <w:r w:rsidRPr="00463B38">
              <w:t>штаффелитовых</w:t>
            </w:r>
            <w:proofErr w:type="spellEnd"/>
            <w:r w:rsidRPr="00463B38">
              <w:t xml:space="preserve"> руд, апатит-магнетитовых, маложелезистых апатитовых руд, апатитовых и фосфоритовых руд)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182 1 07 01080 01 5000 110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463B38">
            <w:pPr>
              <w:pStyle w:val="ConsPlusNormal"/>
              <w:jc w:val="both"/>
            </w:pPr>
            <w:r w:rsidRPr="00463B38">
              <w:t>Налог на добычу прочих полезных ископаемых, в отношении которых при налогообложении установлен рентный коэффициент, отличный               от 1 (за исключением калийных солей,                   апатит-нефелиновых, апатит-</w:t>
            </w:r>
            <w:proofErr w:type="spellStart"/>
            <w:r w:rsidRPr="00463B38">
              <w:t>штаффелитовых</w:t>
            </w:r>
            <w:proofErr w:type="spellEnd"/>
            <w:r w:rsidRPr="00463B38">
              <w:t xml:space="preserve"> руд, апатит-магнетитовых, маложелезистых апатитовых руд, апатитовых и фосфоритовых руд)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182 1 07 02020 01 1000 110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182 1 07 02020 01 2100 110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182 1 07 02020 01 2200 110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182 1 07 02020 01 3000 110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Регулярные платежи за добычу полезных ископаемых (роялти) </w:t>
            </w:r>
            <w:r w:rsidRPr="00463B38">
              <w:lastRenderedPageBreak/>
              <w:t>при выполнении соглашений о разделе продукции в виде углеводородного сырья, за исключением газа горючего природного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182 1 07 02020 01 4000 110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182 1 07 02020 01 5000 110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182 1 07 04010 01 1000 110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182 1 07 04010 01 2100 110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животного мира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182 1 07 04010 01 2200 110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животного мира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182 1 07 04010 01 3000 110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животного мира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182 1 07 04010 01 4000 110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Сборы за пользование объектами животного мира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182 1 07 04010 01 5000 110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животного мира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182 1 07 04020 01 1000 110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(исключая внутренние водные объекты)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182 1 07 04020 01 2100 110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(исключая внутренние водные объекты)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182 1 07 04020 01 2200 110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(исключая внутренние водные объекты)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182 1 07 04020 01 3000 110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Сбор за пользование объектами водных биологических ресурсов (исключая внутренние водные объекты) (суммы денежных </w:t>
            </w:r>
            <w:r w:rsidRPr="00463B38"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182 1 07 04020 01 4000 110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Сборы за пользование объектами водных биологических ресурсов (исключая внутренние водные объекты)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182 1 07 04020 01 5000 110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(исключая внутренние водные объекты)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182 1 07 04030 01 1000 110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(по внутренним водным объектам)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182 1 07 04030 01 2100 110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(по внутренним водным объектам)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182 1 07 04030 01 2200 110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(по внутренним водным объектам)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182 1 07 04030 01 3000 110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(по внутренним водным объектам)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182 1 07 04030 01 4000 110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Сборы за пользование объектами водных биологических ресурсов (по внутренним водным объектам)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182 1 07 04030 01 5000 110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за пользование объектами водных биологических ресурсов (по внутренним водным объектам)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182 1 08 02020 01 1050 110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Государственная пошлина по делам, рассматриваемым конституционными (уставными) судами субъектов Российской Федерации (государственная пошлина, уплачиваемая при обращении в суды)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182 1 08 02020 01 1060 110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Государственная пошлина по делам, рассматриваемым конституционными (уставными) судами субъектов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182 1 08 02020 01 4000 110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Государственная пошлина по делам, рассматриваемым конституционными (уставными) судами субъектов Российской Федерации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182 1 08 02020 01 5000 110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Государственная пошлина по делам, рассматриваемым </w:t>
            </w:r>
            <w:r w:rsidRPr="00463B38">
              <w:lastRenderedPageBreak/>
              <w:t>конституционными (уставными) судами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182 1 08 03010 01 1050 110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182 1 08 03010 01 1060 110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182 1 08 03010 01 4000 110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182 1 08 03010 01 5000 110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182 1 09 01020 04 1000 110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182 1 09 01020 04 2100 110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182 1 09 01020 04 2200 110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182 1 09 01020 04 3000 110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182 1 09 01020 04 4000 110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прибыль организаций, зачислявшийся до 1 января 2005 года в местные бюджеты, мобилизуемый на территориях городских округов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182 1 09 01020 04 5000 110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прибыль организаций, зачислявшийся до 1 января 2005 года в местные бюджеты, мобилизуемый на территориях городских округов (уплата процентов, начисленных на суммы излишне взысканных (уплаченных) платежей, а также при </w:t>
            </w:r>
            <w:r w:rsidRPr="00463B38">
              <w:lastRenderedPageBreak/>
              <w:t>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lastRenderedPageBreak/>
              <w:t>182 1 09 01020 14 1000 110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182 1 09 01020 14 2100 110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182 1 09 01020 14 2200 110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182 1 09 01020 14 3000 110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182 1 09 01020 14 4000 110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182 1 09 01020 14 5000 110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182 1 09 01030 05 1000 110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182 1 09 01030 05 2100 110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районов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182 1 09 01030 05 2200 110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районов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182 1 09 01030 05 3000 110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182 1 09 01030 05 4000 110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прибыль организаций, зачислявшийся до 1 января 2005 </w:t>
            </w:r>
            <w:r w:rsidRPr="00463B38">
              <w:lastRenderedPageBreak/>
              <w:t xml:space="preserve">года в местные бюджеты, мобилизуемый на территориях муниципальных районов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182 1 09 01030 05 5000 110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прибыль организаций, зачислявшийся до 1 января 2005 года в местные бюджеты, мобилизуемый на территориях муниципальных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182 1 09 03021 04 1000 110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Платежи за добычу общераспространенных полезных ископаемых,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182 1 09 03021 05 1000 110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Платежи за добычу общераспространенных полезных ископаемых,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182 1 09 03021 14 1000 110</w:t>
            </w:r>
          </w:p>
        </w:tc>
        <w:tc>
          <w:tcPr>
            <w:tcW w:w="6271" w:type="dxa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Платежи за добычу общераспространенных полезных ископаемых, мобилизуемые на территориях муниципальных округов (сумма платежа (перерасчеты, недоимка и задолженность по соответствующему платежу, в том числе по отмененному)";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182 1 09 03022 01 1000 110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Платежи за добычу углеводородного сырья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182 1 09 03023 01 1000 110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Платежи за добычу подземных вод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182 1 09 03025 01 1000 110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Платежи за добычу других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182 1 09 03061 01 1000 110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(роялти)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182 1 09 03062 01 1000 110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Ежегодные платежи за проведение поисковых и разведочных работ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182 1 09 03082 02 1000 110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182 1 09 03083 02 1000 110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Отчисления на воспроизводство минерально-сырьевой базы </w:t>
            </w:r>
            <w:r w:rsidRPr="00463B38">
              <w:lastRenderedPageBreak/>
              <w:t>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182 1 09 04010 02 1000 110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предприятий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182 1 09 04010 02 2100 110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предприятий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182 1 09 04010 02 2200 110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предприятий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182 1 09 04010 02 3000 110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предприятий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182 1 09 04010 02 4000 110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имущество предприятий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182 1 09 04010 02 5000 110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имущество предприятий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182 1 09 04020 02 1000 110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владельцев транспортных средств и налог на приобретение автотранспортных средств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182 1 09 04020 02 2100 110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владельцев транспортных средств и налог на приобретение автотранспортных средств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182 1 09 04020 02 2200 110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владельцев транспортных средств и налог на приобретение автотранспортных средств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182 1 09 04020 02 3000 110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владельцев транспортных средств и налог на приобретение автотранспортных средств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182 1 09 04020 02 4000 110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с владельцев транспортных средств и налогу на приобретение автотранспортных средств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182 1 09 04020 02 5000 110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владельцев транспортных средств и налог на приобретение автотранспортных средств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182 1 09 04030 01 1000 110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пользователей автомобильных дорог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182 1 09 04030 01 2100 110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пользователей автомобильных дорог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182 1 09 04030 01 2200 110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пользователей автомобильных дорог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182 1 09 04030 01 3000 110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пользователей автомобильных дорог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182 1 09 04030 01 4000 110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пользователей автомобильных дорог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182 1 09 04030 01 5000 110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пользователей автомобильных дорог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182 1 09 04040 01 1000 110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имущества, переходящего в порядке наследования или дарения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182 1 09 04040 01 2100 110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имущества, переходящего в порядке наследования или дарения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182 1 09 04040 01 2200 110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имущества, переходящего в порядке наследования или дарения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182 1 09 04040 01 3000 110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имущества, переходящего в порядке наследования или дарения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182 1 09 04040 01 4000 110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с имущества, переходящего в порядке наследования или дарения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182 1 09 04040 01 5000 110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имущества, переходящего в порядке наследования или дарения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182 1 09 04052 04 1000 110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182 1 09 04052 04 2100 110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182 1 09 04052 04 2200 110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182 1 09 04052 04 3000 110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(по обязательствам, возникшим до 1 января </w:t>
            </w:r>
            <w:r w:rsidRPr="00463B38">
              <w:lastRenderedPageBreak/>
              <w:t>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182 1 09 04052 04 4000 110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(по обязательствам, возникшим до 1 января 2006 года), мобилизуемый на территориях городских округов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182 1 09 04052 04 5000 110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182 1 09 04052 14 1000 110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182 1 09 04052 14 2100 110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182 1 09 04052 14 2200 110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182 1 09 04052 14 3000 110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182 1 09 04052 14 4000 110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182 1 09 04052 14 5000 110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муниципальных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межселенных территориях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182 1 09 04053 05 2100 110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межселенных территориях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182 1 09 04053 05 2200 110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(по обязательствам, возникшим до 1 января 2006 года), мобилизуемый на межселенных территориях </w:t>
            </w:r>
            <w:r w:rsidRPr="00463B38">
              <w:lastRenderedPageBreak/>
              <w:t>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182 1 09 04053 05 3000 110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межселенных территориях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182 1 09 04053 05 4000 110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(по обязательствам, возникшим до 1 января 2006 года), мобилизуемый на межселенных территориях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182 1 09 04053 05 5000 110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межселенных территориях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182 1 09 04053 10 1000 110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182 1 09 04053 10 2100 110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182 1 09 04053 10 2200 110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182 1 09 04053 10 3000 110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182 1 09 04053 10 4000 110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Земельный налог (по обязательствам, возникшим до 1 января 2006 года), мобилизуемый на территориях сельских поселений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182 1 09 04053 10 5000 110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Земельный налог (по обязательствам, возникшим до 1 января 2006 года), мобилизуемый на территориях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налоги и сборы (по отмененным федеральным налогам и сборам)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182 1 09 05040 01 1000 110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покупку иностранных денежных знаков и платежных документов, выраженных в иностранной валюте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182 1 09 05040 01 2100 110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покупку иностранных денежных знаков и платежных документов, выраженных в иностранной валюте (пени по </w:t>
            </w:r>
            <w:r w:rsidRPr="00463B38">
              <w:lastRenderedPageBreak/>
              <w:t>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182 1 09 05040 01 2200 110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покупку иностранных денежных знаков и платежных документов, выраженных в иностранной валюте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182 1 09 05040 01 3000 110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покупку иностранных денежных знаков и платежных документов, выраженных в иностранной валюте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182 1 09 05040 01 4000 110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покупку иностранных денежных знаков и платежных документов, выраженных в иностранной валюте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182 1 09 05040 01 5000 110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покупку иностранных денежных знаков и платежных документов, выраженных в иностранной валюте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налоги и сборы (по отменным налогам и сборам субъектов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182 1 09 06010 02 1000 110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продаж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182 1 09 06010 02 2100 110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продаж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182 1 09 06010 02 2200 110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продаж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182 1 09 06010 02 3000 110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продаж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182 1 09 06010 02 4000 110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с продаж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182 1 09 06010 02 5000 110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с продаж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182 1 09 06020 02 1000 110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Сбор на нужды образовательных учреждений, взимаемый с юридических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182 1 09 06030 02 1000 110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налоги и сборы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182 1 09 06030 02 2100 110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налоги и сборы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182 1 09 06030 02 2200 110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налоги и сборы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182 1 09 06030 02 3000 110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налоги и сборы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182 1 09 06030 02 4000 110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Прочие налоги и сборы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182 1 09 06030 02 5000 110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налоги и сборы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182 1 09 07012 04 1000 110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182 1 09 07012 04 2100 110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182 1 09 07012 04 2200 110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182 1 09 07012 04 3000 110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182 1 09 07012 04 4000 110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рекламу, мобилизуемый на территориях городских округов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182 1 09 07012 04 5000 110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182 1 09 07012 14 1000 110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182 1 09 07012 14 2100 110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182 1 09 07012 14 2200 110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182 1 09 07012 14 3000 110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182 1 09 07012 14 4000 110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182 1 09 07012 14 5000 110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рекламу, мобилизуемый на территориях муниципальных округов (уплата процентов, начисленных на </w:t>
            </w:r>
            <w:r w:rsidRPr="00463B38">
              <w:lastRenderedPageBreak/>
              <w:t>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182 1 09 07013 05 1000 110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182 1 09 07013 05 2100 110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районов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182 1 09 07013 05 2200 110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районов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182 1 09 07013 05 3000 110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182 1 09 07013 05 4000 110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 на рекламу, мобилизуемый на территориях муниципальных районов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182 1 09 07013 05 5000 110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 на рекламу, мобилизуемый на территориях муниципальных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182 1 09 07021 04 1000 110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Курортный сбор,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182 1 09 07021 14 1000 110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Курортный сбор, мобилизуемый на территориях муниципальных округов (сумма платежа (перерасчеты, недоимка и задолженность по соответствующему платежу, в том числе по отмененному)";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182 1 09 07022 05 1000 110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Курортный сбор, мобилизуемый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182 1 09 07032 04 1000 110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182 1 09 07032 14 1000 110</w:t>
            </w:r>
          </w:p>
        </w:tc>
        <w:tc>
          <w:tcPr>
            <w:tcW w:w="6271" w:type="dxa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 (сумма платежа (перерасчеты, недоимка и задолженность по </w:t>
            </w:r>
            <w:r w:rsidRPr="00463B38">
              <w:lastRenderedPageBreak/>
              <w:t>соответствующему платежу, в том числе по отмененному)";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182 1 09 07033 05 1000 110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182 1 09 07042 04 1000 110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Лицензионный сбор за право торговли спиртными напитками,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182 1 09 07042 14 1000 110</w:t>
            </w:r>
          </w:p>
        </w:tc>
        <w:tc>
          <w:tcPr>
            <w:tcW w:w="6271" w:type="dxa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Лицензионный сбор за право торговли спиртными напитками, мобилизуемый на территориях муниципальных округов (сумма платежа (перерасчеты, недоимка и задолженность по соответствующему платежу, в том числе по отмененному)";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182 1 09 07043 05 1000 110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Лицензионный сбор за право торговли спиртными напитками, мобилизуемый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182 1 09 07052 04 1000 110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182 1 09 07052 04 2100 110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городских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182 1 09 07052 04 2200 110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городских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182 1 09 07052 04 3000 110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182 1 09 07052 04 4000 110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Прочие местные налоги и сборы, мобилизуемые на территориях городских округов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182 1 09 07052 04 5000 110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182 1 09 07052 14 1000 110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182 1 09 07052 14 2100 110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округов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lastRenderedPageBreak/>
              <w:t>182 1 09 07052 14 2200 110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округов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182 1 09 07052 14 3000 110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182 1 09 07052 14 4000 110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округов (прочие поступления)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182 1 09 07052 14 5000 110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182 1 09 07053 05 1000 110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182 1 09 07053 05 2100 110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182 1 09 07053 05 2200 110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районов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182 1 09 07053 05 3000 110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182 1 09 07053 05 4000 110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Прочие местные налоги и сборы, мобилизуемые на территориях муниципальных районов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182 1 09 07053 05 5000 110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Прочие местные налоги и сборы, мобилизуемые на территориях муниципальных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182 1 09 11010 02 1000 110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Налог, взимаемый в виде стоимости патента в связи с применением упрощенной системы налогообложения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182 1 09 11010 02 2100 110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Налог, взимаемый в виде стоимости патента в связи с применением упрощенной системы налогообложения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182 1 09 11010 02 2200 110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Налог, взимаемый в виде стоимости патента в связи с применением упрощенной системы налогообложения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182 1 09 11010 02 3000 110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Налог, взимаемый в виде стоимости патента в связи с </w:t>
            </w:r>
            <w:r w:rsidRPr="00463B38">
              <w:lastRenderedPageBreak/>
              <w:t>применением упрощенной системы налогообложения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182 1 09 11010 02 4000 110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Налог, взимаемый в виде стоимости патента в связи с применением упрощенной системы налогообложения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182 1 09 11010 02 5000 110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Налог, взимаемый в виде стоимости патента в связи с применением упрощенной системы налогообложения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182 1 09 11020 02 1000 110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182 1 09 11020 02 2100 110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 (пени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182 1 09 11020 02 2200 110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182 1 09 11020 02 3000 110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182 1 09 11020 02 4000 110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Налог, взимаемый в виде стоимости патента в связи с применением упрощенной системы налогообложения (за налоговые периоды, истекшие до 1 января 2011 года)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182 1 09 11020 02 5000 110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182 1 09 90030 02 1000 110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Задолженность по налогам, сборам и иным обязательным платежам, образовавшаяся у налогоплательщиков после даты перерегистрации в соответствии с законодательством Российской Федерации, зачисляемая в бюджет Республики Крым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182 1 09 90040 02 1000 110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Задолженность по налогам, сборам и иным обязательным платежам, образовавшаяся у налогоплательщиков после даты перерегистрации в соответствии с законодательством Российской Федерации, зачисляемая в бюджет города федерального значения Севастополя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182 1 12 02030 01 1000 120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за пользование недрами при пользовании недрами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182 1 12 02030 01 2200 120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за пользование недрами при пользовании недрами на территории Российской Федерации (проценты по соответствующему платежу)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182 1 12 02030 01 3000 120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Регулярные платежи за пользование недрами при пользовании недрами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182 1 12 02030 01 4000 120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Регулярные платежи за пользование недрами при пользовании недрами на территории Российской Федерации (прочие поступления) </w:t>
            </w:r>
            <w:hyperlink w:anchor="P4323" w:history="1">
              <w:r w:rsidRPr="00463B38">
                <w:rPr>
                  <w:color w:val="0000FF"/>
                </w:rPr>
                <w:t>&lt;*&gt;</w:t>
              </w:r>
            </w:hyperlink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182 1 13 01020 01 8000 130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многофункциональный центр)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182 1 13 01190 01 8000 130</w:t>
            </w:r>
          </w:p>
        </w:tc>
        <w:tc>
          <w:tcPr>
            <w:tcW w:w="6271" w:type="dxa"/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Плата за предоставление информации из реестра дисквалифицированных лиц (при обращении через многофункциональный центр)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182 1 16 10122 01 0001 140</w:t>
            </w:r>
          </w:p>
        </w:tc>
        <w:tc>
          <w:tcPr>
            <w:tcW w:w="6271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182 1 16 10123 01 0031 140</w:t>
            </w:r>
          </w:p>
        </w:tc>
        <w:tc>
          <w:tcPr>
            <w:tcW w:w="6271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463B38">
              <w:lastRenderedPageBreak/>
              <w:t>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182 1 16 10123 01 0041 140</w:t>
            </w:r>
          </w:p>
        </w:tc>
        <w:tc>
          <w:tcPr>
            <w:tcW w:w="6271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182 1 16 10123 01 0051 140</w:t>
            </w:r>
          </w:p>
        </w:tc>
        <w:tc>
          <w:tcPr>
            <w:tcW w:w="6271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182 1 16 10123 01 0101 140</w:t>
            </w:r>
          </w:p>
        </w:tc>
        <w:tc>
          <w:tcPr>
            <w:tcW w:w="6271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182 1 16 10123 01 0111 140</w:t>
            </w:r>
          </w:p>
        </w:tc>
        <w:tc>
          <w:tcPr>
            <w:tcW w:w="6271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с внутригородским делением,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nil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182 1 16 10123 01 0121 140</w:t>
            </w:r>
          </w:p>
        </w:tc>
        <w:tc>
          <w:tcPr>
            <w:tcW w:w="6271" w:type="dxa"/>
            <w:vMerge w:val="restart"/>
            <w:tcBorders>
              <w:bottom w:val="nil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lastRenderedPageBreak/>
              <w:t>182 1 16 10123 01 0131 140</w:t>
            </w:r>
          </w:p>
        </w:tc>
        <w:tc>
          <w:tcPr>
            <w:tcW w:w="6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/>
        </w:tc>
        <w:tc>
          <w:tcPr>
            <w:tcW w:w="62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182 1 16 10123 01 0141 140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269"/>
        </w:trPr>
        <w:tc>
          <w:tcPr>
            <w:tcW w:w="30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</w:pPr>
            <w:r w:rsidRPr="00463B38">
              <w:t>182 1 16 10129 01 0000 140</w:t>
            </w:r>
          </w:p>
        </w:tc>
        <w:tc>
          <w:tcPr>
            <w:tcW w:w="6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59FD" w:rsidRPr="00463B38" w:rsidRDefault="00CD59FD">
            <w:pPr>
              <w:pStyle w:val="ConsPlusNormal"/>
              <w:jc w:val="both"/>
            </w:pPr>
            <w:r w:rsidRPr="00463B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/>
        </w:tc>
        <w:tc>
          <w:tcPr>
            <w:tcW w:w="62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/>
        </w:tc>
      </w:tr>
      <w:tr w:rsidR="00CD59FD" w:rsidTr="00463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7" w:type="dxa"/>
          <w:trHeight w:val="509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/>
        </w:tc>
        <w:tc>
          <w:tcPr>
            <w:tcW w:w="62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FD" w:rsidRDefault="00CD59FD"/>
        </w:tc>
      </w:tr>
    </w:tbl>
    <w:p w:rsidR="00542C24" w:rsidRDefault="00542C24" w:rsidP="00CD59FD">
      <w:pPr>
        <w:pStyle w:val="ConsPlusNormal"/>
        <w:ind w:firstLine="540"/>
        <w:jc w:val="both"/>
      </w:pPr>
    </w:p>
    <w:sectPr w:rsidR="00542C24" w:rsidSect="00A442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52"/>
    <w:rsid w:val="000A30F3"/>
    <w:rsid w:val="000C1B52"/>
    <w:rsid w:val="0020458C"/>
    <w:rsid w:val="00295EBA"/>
    <w:rsid w:val="002C5D18"/>
    <w:rsid w:val="00463B38"/>
    <w:rsid w:val="00542C24"/>
    <w:rsid w:val="006E0BD1"/>
    <w:rsid w:val="0070323D"/>
    <w:rsid w:val="007132A0"/>
    <w:rsid w:val="007A3778"/>
    <w:rsid w:val="008A4173"/>
    <w:rsid w:val="00A1600E"/>
    <w:rsid w:val="00A44221"/>
    <w:rsid w:val="00A47E90"/>
    <w:rsid w:val="00B0788D"/>
    <w:rsid w:val="00B14BD9"/>
    <w:rsid w:val="00CD59FD"/>
    <w:rsid w:val="00DB0E18"/>
    <w:rsid w:val="00ED4674"/>
    <w:rsid w:val="00ED789B"/>
    <w:rsid w:val="00F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1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C1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1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C1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13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18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26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34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7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12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17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25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33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38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20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29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11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24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32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37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23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28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36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10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19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31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14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22" Type="http://schemas.openxmlformats.org/officeDocument/2006/relationships/hyperlink" Target="consultantplus://offline/ref=ED2C18396827B5A5D794A722748891B32803DE70AEABAEE9440C5B415655A47820096AC522C209B09E0FD55C13C38D0E86B506033F448D5AU0L" TargetMode="External"/><Relationship Id="rId27" Type="http://schemas.openxmlformats.org/officeDocument/2006/relationships/hyperlink" Target="consultantplus://offline/ref=ED2C18396827B5A5D794A722748891B32803DE70AEABAEE9440C5B415655A47820096AC722CB07BCC10AC04D4BCF8E1298B4191F3D4658UEL" TargetMode="External"/><Relationship Id="rId30" Type="http://schemas.openxmlformats.org/officeDocument/2006/relationships/hyperlink" Target="consultantplus://offline/ref=ED2C18396827B5A5D794A722748891B32803DE70AEABAEE9440C5B415655A47820096AC522CB0ABE9450D049029B810D9AAB071C23468FA355U6L" TargetMode="External"/><Relationship Id="rId35" Type="http://schemas.openxmlformats.org/officeDocument/2006/relationships/hyperlink" Target="consultantplus://offline/ref=ED2C18396827B5A5D794A722748891B32803DE70AEABAEE9440C5B415655A47820096AC522CB0ABE9450D049029B810D9AAB071C23468FA355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976D-93EC-4049-8A9B-6FDFB6C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23766</Words>
  <Characters>135468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5900-09-003</dc:creator>
  <cp:lastModifiedBy>Чемерис Мария Александровна</cp:lastModifiedBy>
  <cp:revision>4</cp:revision>
  <dcterms:created xsi:type="dcterms:W3CDTF">2021-12-30T05:46:00Z</dcterms:created>
  <dcterms:modified xsi:type="dcterms:W3CDTF">2021-12-30T06:07:00Z</dcterms:modified>
</cp:coreProperties>
</file>