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6" w:rsidRDefault="00E01596" w:rsidP="00C53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</w:p>
    <w:p w:rsidR="003E724E" w:rsidRPr="00C53855" w:rsidRDefault="001D0179" w:rsidP="00C53855">
      <w:pPr>
        <w:widowControl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«</w:t>
      </w:r>
      <w:r w:rsidR="00390B07" w:rsidRPr="00C53855">
        <w:rPr>
          <w:sz w:val="28"/>
          <w:szCs w:val="28"/>
        </w:rPr>
        <w:t xml:space="preserve">Актуальные вопросы исчисления </w:t>
      </w:r>
      <w:proofErr w:type="gramStart"/>
      <w:r w:rsidR="00390B07" w:rsidRPr="00C53855">
        <w:rPr>
          <w:sz w:val="28"/>
          <w:szCs w:val="28"/>
        </w:rPr>
        <w:t>налога</w:t>
      </w:r>
      <w:proofErr w:type="gramEnd"/>
      <w:r w:rsidR="00390B07" w:rsidRPr="00C53855">
        <w:rPr>
          <w:sz w:val="28"/>
          <w:szCs w:val="28"/>
        </w:rPr>
        <w:t xml:space="preserve"> на имущество физических лиц исходя из кадастровой стоимости</w:t>
      </w:r>
      <w:r w:rsidRPr="00C53855">
        <w:rPr>
          <w:sz w:val="28"/>
          <w:szCs w:val="28"/>
        </w:rPr>
        <w:t>»</w:t>
      </w:r>
      <w:r w:rsidR="003E724E" w:rsidRPr="00C53855">
        <w:rPr>
          <w:sz w:val="28"/>
          <w:szCs w:val="28"/>
        </w:rPr>
        <w:t xml:space="preserve"> </w:t>
      </w:r>
    </w:p>
    <w:p w:rsidR="00FA39F8" w:rsidRPr="00C53855" w:rsidRDefault="00FA39F8" w:rsidP="00C53855">
      <w:pPr>
        <w:widowControl w:val="0"/>
        <w:ind w:firstLine="709"/>
        <w:jc w:val="both"/>
        <w:rPr>
          <w:sz w:val="28"/>
          <w:szCs w:val="28"/>
        </w:rPr>
      </w:pPr>
    </w:p>
    <w:p w:rsidR="00390B07" w:rsidRDefault="00390B07" w:rsidP="00C53855">
      <w:pPr>
        <w:widowControl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Основными</w:t>
      </w:r>
      <w:r w:rsidR="00AB2BEF" w:rsidRPr="00C53855">
        <w:rPr>
          <w:sz w:val="28"/>
          <w:szCs w:val="28"/>
        </w:rPr>
        <w:t xml:space="preserve"> </w:t>
      </w:r>
      <w:r w:rsidRPr="00C53855">
        <w:rPr>
          <w:sz w:val="28"/>
          <w:szCs w:val="28"/>
        </w:rPr>
        <w:t xml:space="preserve">направлениями налоговой политики Пермского края на 2017 год и на плановый период 2018 и 2019 годов предусмотрено определение даты начала исчисления налога на имущество физических лиц по кадастровой стоимости и проведение мероприятий </w:t>
      </w:r>
      <w:proofErr w:type="gramStart"/>
      <w:r w:rsidRPr="00C53855">
        <w:rPr>
          <w:sz w:val="28"/>
          <w:szCs w:val="28"/>
        </w:rPr>
        <w:t>по переходу на исчисление налога на имущество организаций по кадастровой стоимости в отношении</w:t>
      </w:r>
      <w:proofErr w:type="gramEnd"/>
      <w:r w:rsidRPr="00C53855">
        <w:rPr>
          <w:sz w:val="28"/>
          <w:szCs w:val="28"/>
        </w:rPr>
        <w:t xml:space="preserve"> отдельных объектов.</w:t>
      </w:r>
    </w:p>
    <w:p w:rsidR="003F5699" w:rsidRPr="00C53855" w:rsidRDefault="003F5699" w:rsidP="00C53855">
      <w:pPr>
        <w:widowControl w:val="0"/>
        <w:ind w:firstLine="709"/>
        <w:jc w:val="both"/>
        <w:rPr>
          <w:sz w:val="28"/>
          <w:szCs w:val="28"/>
        </w:rPr>
      </w:pPr>
      <w:r w:rsidRPr="003F5699">
        <w:rPr>
          <w:noProof/>
          <w:sz w:val="28"/>
          <w:szCs w:val="28"/>
        </w:rPr>
        <w:drawing>
          <wp:inline distT="0" distB="0" distL="0" distR="0" wp14:anchorId="642C112F" wp14:editId="43E969DC">
            <wp:extent cx="1240972" cy="878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1712" cy="87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EF" w:rsidRPr="00C53855" w:rsidRDefault="00AB2BEF" w:rsidP="00C5385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53855">
        <w:rPr>
          <w:sz w:val="28"/>
          <w:szCs w:val="28"/>
        </w:rPr>
        <w:t xml:space="preserve">Законом Пермского края № 140-ПК, принятом </w:t>
      </w:r>
      <w:r w:rsidR="00477904" w:rsidRPr="00C53855">
        <w:rPr>
          <w:sz w:val="28"/>
          <w:szCs w:val="28"/>
        </w:rPr>
        <w:t xml:space="preserve">в ноябре 2017 года, </w:t>
      </w:r>
      <w:r w:rsidRPr="00C53855">
        <w:rPr>
          <w:sz w:val="28"/>
          <w:szCs w:val="28"/>
        </w:rPr>
        <w:t>установлен</w:t>
      </w:r>
      <w:r w:rsidR="00477904" w:rsidRPr="00C53855">
        <w:rPr>
          <w:sz w:val="28"/>
          <w:szCs w:val="28"/>
        </w:rPr>
        <w:t>а</w:t>
      </w:r>
      <w:r w:rsidRPr="00C53855">
        <w:rPr>
          <w:sz w:val="28"/>
          <w:szCs w:val="28"/>
        </w:rPr>
        <w:t xml:space="preserve"> един</w:t>
      </w:r>
      <w:r w:rsidR="00477904" w:rsidRPr="00C53855">
        <w:rPr>
          <w:sz w:val="28"/>
          <w:szCs w:val="28"/>
        </w:rPr>
        <w:t>ая</w:t>
      </w:r>
      <w:r w:rsidRPr="00C53855">
        <w:rPr>
          <w:sz w:val="28"/>
          <w:szCs w:val="28"/>
        </w:rPr>
        <w:t xml:space="preserve"> дат</w:t>
      </w:r>
      <w:r w:rsidR="00477904" w:rsidRPr="00C53855">
        <w:rPr>
          <w:sz w:val="28"/>
          <w:szCs w:val="28"/>
        </w:rPr>
        <w:t>а</w:t>
      </w:r>
      <w:r w:rsidRPr="00C53855">
        <w:rPr>
          <w:sz w:val="28"/>
          <w:szCs w:val="28"/>
        </w:rPr>
        <w:t xml:space="preserve"> начала применения на территории Пермского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proofErr w:type="gramEnd"/>
    </w:p>
    <w:p w:rsidR="00477904" w:rsidRPr="00165B5B" w:rsidRDefault="00477904" w:rsidP="00C53855">
      <w:pPr>
        <w:widowControl w:val="0"/>
        <w:ind w:firstLine="709"/>
        <w:jc w:val="both"/>
        <w:rPr>
          <w:rStyle w:val="afc"/>
          <w:b w:val="0"/>
          <w:sz w:val="28"/>
          <w:szCs w:val="28"/>
        </w:rPr>
      </w:pPr>
      <w:r w:rsidRPr="00C53855">
        <w:rPr>
          <w:rStyle w:val="afc"/>
          <w:b w:val="0"/>
          <w:sz w:val="28"/>
          <w:szCs w:val="28"/>
        </w:rPr>
        <w:t xml:space="preserve">Так как НИ ФЛ является одним из трех имущественных налогов, уплачиваемых ФЛ на основании налоговых уведомлений (обязанность по расчету сумм налога возложена на налоговые органы), кратко проинформирую об итогах кампании </w:t>
      </w:r>
      <w:r w:rsidR="00165B5B">
        <w:rPr>
          <w:rStyle w:val="afc"/>
          <w:b w:val="0"/>
          <w:sz w:val="28"/>
          <w:szCs w:val="28"/>
        </w:rPr>
        <w:t>2019 года</w:t>
      </w:r>
    </w:p>
    <w:p w:rsidR="003F5699" w:rsidRDefault="003F5699" w:rsidP="00C53855">
      <w:pPr>
        <w:widowControl w:val="0"/>
        <w:ind w:firstLine="709"/>
        <w:jc w:val="both"/>
        <w:rPr>
          <w:rStyle w:val="afc"/>
          <w:b w:val="0"/>
          <w:sz w:val="28"/>
          <w:szCs w:val="28"/>
        </w:rPr>
      </w:pPr>
      <w:r w:rsidRPr="003F5699">
        <w:rPr>
          <w:bCs/>
          <w:noProof/>
          <w:sz w:val="28"/>
          <w:szCs w:val="28"/>
        </w:rPr>
        <w:drawing>
          <wp:inline distT="0" distB="0" distL="0" distR="0" wp14:anchorId="079EB4DD" wp14:editId="3AB6071E">
            <wp:extent cx="1076780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166" cy="7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04" w:rsidRPr="00C53855" w:rsidRDefault="00477904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rStyle w:val="afc"/>
          <w:b w:val="0"/>
          <w:sz w:val="28"/>
          <w:szCs w:val="28"/>
        </w:rPr>
        <w:t>В соответствии с действующим законодате</w:t>
      </w:r>
      <w:r w:rsidR="00AF72F5" w:rsidRPr="00C53855">
        <w:rPr>
          <w:rStyle w:val="afc"/>
          <w:b w:val="0"/>
          <w:sz w:val="28"/>
          <w:szCs w:val="28"/>
        </w:rPr>
        <w:t xml:space="preserve">льством имущественные налоги подлежат уплате в срок не позднее 1 декабря года, следующего </w:t>
      </w:r>
      <w:r w:rsidR="00AF72F5" w:rsidRPr="00C53855">
        <w:rPr>
          <w:sz w:val="28"/>
          <w:szCs w:val="28"/>
          <w:shd w:val="clear" w:color="auto" w:fill="FFFFFF"/>
        </w:rPr>
        <w:t>за истекшим налоговым периодом.</w:t>
      </w:r>
    </w:p>
    <w:p w:rsidR="00AF72F5" w:rsidRPr="00C53855" w:rsidRDefault="00AF72F5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 xml:space="preserve">В 2019 году кампания по исчислению сумм имущественных налогов началась задолго до рассылки налоговых уведомлений </w:t>
      </w:r>
    </w:p>
    <w:p w:rsidR="00AF72F5" w:rsidRPr="00C53855" w:rsidRDefault="00AF72F5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>- нормализация сведений об объектах налогообложения и их правообладателей, содержащихся в информационных ресурсах налоговых органов</w:t>
      </w:r>
    </w:p>
    <w:p w:rsidR="00AF72F5" w:rsidRPr="00C53855" w:rsidRDefault="00AF72F5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>- настройка справочников ставок и льгот, используемых при расчете налогов по каждому муниципальному образованию (более 300)</w:t>
      </w:r>
    </w:p>
    <w:p w:rsidR="00AF72F5" w:rsidRPr="00C53855" w:rsidRDefault="00AF72F5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 xml:space="preserve">- дополнительное получение неформализованных сведений регистрирующих органов, решающее проблемы информационного взаимодействия по обмену сведениями в формализованном виде, внесение этих сведений в </w:t>
      </w:r>
      <w:proofErr w:type="spellStart"/>
      <w:r w:rsidRPr="00C53855">
        <w:rPr>
          <w:sz w:val="28"/>
          <w:szCs w:val="28"/>
          <w:shd w:val="clear" w:color="auto" w:fill="FFFFFF"/>
        </w:rPr>
        <w:t>информ</w:t>
      </w:r>
      <w:proofErr w:type="spellEnd"/>
      <w:r w:rsidRPr="00C53855">
        <w:rPr>
          <w:sz w:val="28"/>
          <w:szCs w:val="28"/>
          <w:shd w:val="clear" w:color="auto" w:fill="FFFFFF"/>
        </w:rPr>
        <w:t xml:space="preserve"> ресурсы налоговых органов</w:t>
      </w:r>
    </w:p>
    <w:p w:rsidR="00AF72F5" w:rsidRPr="001E53D9" w:rsidRDefault="00AF72F5" w:rsidP="00C5385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1E53D9">
        <w:rPr>
          <w:sz w:val="28"/>
          <w:szCs w:val="28"/>
          <w:shd w:val="clear" w:color="auto" w:fill="FFFFFF"/>
        </w:rPr>
        <w:t xml:space="preserve">С </w:t>
      </w:r>
      <w:r w:rsidR="00C53855" w:rsidRPr="001E53D9">
        <w:rPr>
          <w:sz w:val="28"/>
          <w:szCs w:val="28"/>
          <w:shd w:val="clear" w:color="auto" w:fill="FFFFFF"/>
        </w:rPr>
        <w:t>20</w:t>
      </w:r>
      <w:r w:rsidRPr="001E53D9">
        <w:rPr>
          <w:sz w:val="28"/>
          <w:szCs w:val="28"/>
          <w:shd w:val="clear" w:color="auto" w:fill="FFFFFF"/>
        </w:rPr>
        <w:t xml:space="preserve"> мая по </w:t>
      </w:r>
      <w:r w:rsidR="002018D2" w:rsidRPr="001E53D9">
        <w:rPr>
          <w:sz w:val="28"/>
          <w:szCs w:val="28"/>
          <w:shd w:val="clear" w:color="auto" w:fill="FFFFFF"/>
        </w:rPr>
        <w:t>10</w:t>
      </w:r>
      <w:r w:rsidRPr="001E53D9">
        <w:rPr>
          <w:sz w:val="28"/>
          <w:szCs w:val="28"/>
          <w:shd w:val="clear" w:color="auto" w:fill="FFFFFF"/>
        </w:rPr>
        <w:t xml:space="preserve"> июн</w:t>
      </w:r>
      <w:r w:rsidR="002018D2" w:rsidRPr="001E53D9">
        <w:rPr>
          <w:sz w:val="28"/>
          <w:szCs w:val="28"/>
          <w:shd w:val="clear" w:color="auto" w:fill="FFFFFF"/>
        </w:rPr>
        <w:t>я</w:t>
      </w:r>
      <w:r w:rsidRPr="001E53D9">
        <w:rPr>
          <w:sz w:val="28"/>
          <w:szCs w:val="28"/>
          <w:shd w:val="clear" w:color="auto" w:fill="FFFFFF"/>
        </w:rPr>
        <w:t xml:space="preserve"> проведены массовы</w:t>
      </w:r>
      <w:r w:rsidR="002018D2" w:rsidRPr="001E53D9">
        <w:rPr>
          <w:sz w:val="28"/>
          <w:szCs w:val="28"/>
          <w:shd w:val="clear" w:color="auto" w:fill="FFFFFF"/>
        </w:rPr>
        <w:t>е</w:t>
      </w:r>
      <w:r w:rsidRPr="001E53D9">
        <w:rPr>
          <w:sz w:val="28"/>
          <w:szCs w:val="28"/>
          <w:shd w:val="clear" w:color="auto" w:fill="FFFFFF"/>
        </w:rPr>
        <w:t xml:space="preserve"> запуск</w:t>
      </w:r>
      <w:r w:rsidR="002018D2" w:rsidRPr="001E53D9">
        <w:rPr>
          <w:sz w:val="28"/>
          <w:szCs w:val="28"/>
          <w:shd w:val="clear" w:color="auto" w:fill="FFFFFF"/>
        </w:rPr>
        <w:t>и</w:t>
      </w:r>
      <w:r w:rsidRPr="001E53D9">
        <w:rPr>
          <w:sz w:val="28"/>
          <w:szCs w:val="28"/>
          <w:shd w:val="clear" w:color="auto" w:fill="FFFFFF"/>
        </w:rPr>
        <w:t xml:space="preserve"> </w:t>
      </w:r>
      <w:r w:rsidR="00983418" w:rsidRPr="001E53D9">
        <w:rPr>
          <w:sz w:val="28"/>
          <w:szCs w:val="28"/>
          <w:shd w:val="clear" w:color="auto" w:fill="FFFFFF"/>
        </w:rPr>
        <w:t>расчет</w:t>
      </w:r>
      <w:r w:rsidR="002018D2" w:rsidRPr="001E53D9">
        <w:rPr>
          <w:sz w:val="28"/>
          <w:szCs w:val="28"/>
          <w:shd w:val="clear" w:color="auto" w:fill="FFFFFF"/>
        </w:rPr>
        <w:t>ов</w:t>
      </w:r>
      <w:r w:rsidR="00983418" w:rsidRPr="001E53D9">
        <w:rPr>
          <w:sz w:val="28"/>
          <w:szCs w:val="28"/>
          <w:shd w:val="clear" w:color="auto" w:fill="FFFFFF"/>
        </w:rPr>
        <w:t xml:space="preserve"> налогов по всем субъектам РФ, формирование и печать СНУ </w:t>
      </w:r>
      <w:r w:rsidR="001E53D9" w:rsidRPr="001E53D9">
        <w:rPr>
          <w:sz w:val="28"/>
          <w:szCs w:val="28"/>
          <w:shd w:val="clear" w:color="auto" w:fill="FFFFFF"/>
        </w:rPr>
        <w:t>проводилось</w:t>
      </w:r>
      <w:r w:rsidR="00983418" w:rsidRPr="001E53D9">
        <w:rPr>
          <w:sz w:val="28"/>
          <w:szCs w:val="28"/>
          <w:shd w:val="clear" w:color="auto" w:fill="FFFFFF"/>
        </w:rPr>
        <w:t xml:space="preserve"> в соответс</w:t>
      </w:r>
      <w:r w:rsidR="00C53855" w:rsidRPr="001E53D9">
        <w:rPr>
          <w:sz w:val="28"/>
          <w:szCs w:val="28"/>
          <w:shd w:val="clear" w:color="auto" w:fill="FFFFFF"/>
        </w:rPr>
        <w:t>т</w:t>
      </w:r>
      <w:r w:rsidR="00983418" w:rsidRPr="001E53D9">
        <w:rPr>
          <w:sz w:val="28"/>
          <w:szCs w:val="28"/>
          <w:shd w:val="clear" w:color="auto" w:fill="FFFFFF"/>
        </w:rPr>
        <w:t>вии с утвержден</w:t>
      </w:r>
      <w:r w:rsidR="00165B5B">
        <w:rPr>
          <w:sz w:val="28"/>
          <w:szCs w:val="28"/>
          <w:shd w:val="clear" w:color="auto" w:fill="FFFFFF"/>
        </w:rPr>
        <w:t>н</w:t>
      </w:r>
      <w:r w:rsidR="00C53855" w:rsidRPr="001E53D9">
        <w:rPr>
          <w:sz w:val="28"/>
          <w:szCs w:val="28"/>
          <w:shd w:val="clear" w:color="auto" w:fill="FFFFFF"/>
        </w:rPr>
        <w:t>ым</w:t>
      </w:r>
      <w:r w:rsidR="00983418" w:rsidRPr="001E53D9">
        <w:rPr>
          <w:sz w:val="28"/>
          <w:szCs w:val="28"/>
          <w:shd w:val="clear" w:color="auto" w:fill="FFFFFF"/>
        </w:rPr>
        <w:t xml:space="preserve"> ФНС графиком </w:t>
      </w:r>
    </w:p>
    <w:p w:rsidR="00983418" w:rsidRPr="001E53D9" w:rsidRDefault="00983418" w:rsidP="00C53855">
      <w:pPr>
        <w:widowControl w:val="0"/>
        <w:ind w:firstLine="709"/>
        <w:jc w:val="both"/>
        <w:rPr>
          <w:rStyle w:val="afc"/>
          <w:sz w:val="28"/>
          <w:szCs w:val="28"/>
        </w:rPr>
      </w:pPr>
      <w:r w:rsidRPr="001E53D9">
        <w:rPr>
          <w:sz w:val="28"/>
          <w:szCs w:val="28"/>
          <w:shd w:val="clear" w:color="auto" w:fill="FFFFFF"/>
        </w:rPr>
        <w:t xml:space="preserve">Жителям </w:t>
      </w:r>
      <w:r w:rsidR="001E53D9" w:rsidRPr="001E53D9">
        <w:rPr>
          <w:sz w:val="28"/>
          <w:szCs w:val="28"/>
          <w:shd w:val="clear" w:color="auto" w:fill="FFFFFF"/>
        </w:rPr>
        <w:t>края</w:t>
      </w:r>
      <w:r w:rsidRPr="001E53D9">
        <w:rPr>
          <w:sz w:val="28"/>
          <w:szCs w:val="28"/>
          <w:shd w:val="clear" w:color="auto" w:fill="FFFFFF"/>
        </w:rPr>
        <w:t xml:space="preserve"> рассылка налоговых уведомлений начата </w:t>
      </w:r>
      <w:r w:rsidR="00DC6C0B" w:rsidRPr="001E53D9">
        <w:rPr>
          <w:sz w:val="28"/>
          <w:szCs w:val="28"/>
        </w:rPr>
        <w:t xml:space="preserve">14.07.2019. </w:t>
      </w:r>
    </w:p>
    <w:p w:rsidR="00522DE5" w:rsidRPr="001E53D9" w:rsidRDefault="00026F50" w:rsidP="00C53855">
      <w:pPr>
        <w:widowControl w:val="0"/>
        <w:ind w:firstLine="709"/>
        <w:jc w:val="both"/>
        <w:rPr>
          <w:sz w:val="28"/>
          <w:szCs w:val="28"/>
        </w:rPr>
      </w:pPr>
      <w:r w:rsidRPr="001E53D9">
        <w:rPr>
          <w:sz w:val="28"/>
          <w:szCs w:val="28"/>
        </w:rPr>
        <w:t xml:space="preserve"> Н</w:t>
      </w:r>
      <w:r w:rsidR="00522DE5" w:rsidRPr="001E53D9">
        <w:rPr>
          <w:sz w:val="28"/>
          <w:szCs w:val="28"/>
        </w:rPr>
        <w:t>алоговыми органами Пермского края учтено 1 млн. </w:t>
      </w:r>
      <w:r w:rsidR="00DC6C0B" w:rsidRPr="001E53D9">
        <w:rPr>
          <w:sz w:val="28"/>
          <w:szCs w:val="28"/>
        </w:rPr>
        <w:t>768</w:t>
      </w:r>
      <w:r w:rsidR="00522DE5" w:rsidRPr="001E53D9">
        <w:rPr>
          <w:sz w:val="28"/>
          <w:szCs w:val="28"/>
        </w:rPr>
        <w:t xml:space="preserve"> тысяч физических лиц - собственников жилых домов, квартир, иных строений и помещений, </w:t>
      </w:r>
      <w:r w:rsidR="00DC6C0B" w:rsidRPr="001E53D9">
        <w:rPr>
          <w:sz w:val="28"/>
          <w:szCs w:val="28"/>
        </w:rPr>
        <w:t>743</w:t>
      </w:r>
      <w:r w:rsidR="00522DE5" w:rsidRPr="001E53D9">
        <w:rPr>
          <w:sz w:val="28"/>
          <w:szCs w:val="28"/>
        </w:rPr>
        <w:t xml:space="preserve"> тысячи собственников земельных участков, </w:t>
      </w:r>
      <w:r w:rsidR="00DC6C0B" w:rsidRPr="001E53D9">
        <w:rPr>
          <w:sz w:val="28"/>
          <w:szCs w:val="28"/>
        </w:rPr>
        <w:t>581</w:t>
      </w:r>
      <w:r w:rsidR="00522DE5" w:rsidRPr="001E53D9">
        <w:rPr>
          <w:sz w:val="28"/>
          <w:szCs w:val="28"/>
        </w:rPr>
        <w:t xml:space="preserve"> тысяч</w:t>
      </w:r>
      <w:r w:rsidR="00DC6C0B" w:rsidRPr="001E53D9">
        <w:rPr>
          <w:sz w:val="28"/>
          <w:szCs w:val="28"/>
        </w:rPr>
        <w:t>а</w:t>
      </w:r>
      <w:r w:rsidR="00522DE5" w:rsidRPr="001E53D9">
        <w:rPr>
          <w:sz w:val="28"/>
          <w:szCs w:val="28"/>
        </w:rPr>
        <w:t xml:space="preserve"> </w:t>
      </w:r>
      <w:r w:rsidR="00522DE5" w:rsidRPr="001E53D9">
        <w:rPr>
          <w:sz w:val="28"/>
          <w:szCs w:val="28"/>
        </w:rPr>
        <w:lastRenderedPageBreak/>
        <w:t>собственников транспортных средств (</w:t>
      </w:r>
      <w:r w:rsidR="00A6666D" w:rsidRPr="001E53D9">
        <w:rPr>
          <w:sz w:val="28"/>
          <w:szCs w:val="28"/>
        </w:rPr>
        <w:t xml:space="preserve">в общей сложности </w:t>
      </w:r>
      <w:r w:rsidR="00DC6C0B" w:rsidRPr="001E53D9">
        <w:rPr>
          <w:sz w:val="28"/>
          <w:szCs w:val="28"/>
        </w:rPr>
        <w:t>3</w:t>
      </w:r>
      <w:r w:rsidR="00522DE5" w:rsidRPr="001E53D9">
        <w:rPr>
          <w:sz w:val="28"/>
          <w:szCs w:val="28"/>
        </w:rPr>
        <w:t> </w:t>
      </w:r>
      <w:r w:rsidR="00DC6C0B" w:rsidRPr="001E53D9">
        <w:rPr>
          <w:sz w:val="28"/>
          <w:szCs w:val="28"/>
        </w:rPr>
        <w:t>093</w:t>
      </w:r>
      <w:r w:rsidR="00522DE5" w:rsidRPr="001E53D9">
        <w:rPr>
          <w:sz w:val="28"/>
          <w:szCs w:val="28"/>
        </w:rPr>
        <w:t xml:space="preserve"> тыс. чел.,</w:t>
      </w:r>
      <w:r w:rsidR="00A6666D" w:rsidRPr="001E53D9">
        <w:rPr>
          <w:sz w:val="28"/>
          <w:szCs w:val="28"/>
        </w:rPr>
        <w:t xml:space="preserve"> что</w:t>
      </w:r>
      <w:r w:rsidR="00522DE5" w:rsidRPr="001E53D9">
        <w:rPr>
          <w:sz w:val="28"/>
          <w:szCs w:val="28"/>
        </w:rPr>
        <w:t xml:space="preserve"> на </w:t>
      </w:r>
      <w:r w:rsidR="00DC6C0B" w:rsidRPr="001E53D9">
        <w:rPr>
          <w:sz w:val="28"/>
          <w:szCs w:val="28"/>
        </w:rPr>
        <w:t>21</w:t>
      </w:r>
      <w:r w:rsidR="00522DE5" w:rsidRPr="001E53D9">
        <w:rPr>
          <w:sz w:val="28"/>
          <w:szCs w:val="28"/>
        </w:rPr>
        <w:t>% больше, чем в 201</w:t>
      </w:r>
      <w:r w:rsidR="00DC6C0B" w:rsidRPr="001E53D9">
        <w:rPr>
          <w:sz w:val="28"/>
          <w:szCs w:val="28"/>
        </w:rPr>
        <w:t>8</w:t>
      </w:r>
      <w:r w:rsidR="00522DE5" w:rsidRPr="001E53D9">
        <w:rPr>
          <w:sz w:val="28"/>
          <w:szCs w:val="28"/>
        </w:rPr>
        <w:t xml:space="preserve"> году).</w:t>
      </w:r>
    </w:p>
    <w:p w:rsidR="00DC6C0B" w:rsidRDefault="00DC6C0B" w:rsidP="00C538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53855">
        <w:rPr>
          <w:rFonts w:eastAsiaTheme="minorHAnsi"/>
          <w:color w:val="auto"/>
          <w:sz w:val="28"/>
          <w:szCs w:val="28"/>
          <w:lang w:eastAsia="en-US"/>
        </w:rPr>
        <w:t xml:space="preserve">Общая сумма имущественных налогов, начисленных к уплате за 2018 год жителям Пермского края составляет 4,2 </w:t>
      </w:r>
      <w:proofErr w:type="gramStart"/>
      <w:r w:rsidRPr="00C53855">
        <w:rPr>
          <w:rFonts w:eastAsiaTheme="minorHAnsi"/>
          <w:color w:val="auto"/>
          <w:sz w:val="28"/>
          <w:szCs w:val="28"/>
          <w:lang w:eastAsia="en-US"/>
        </w:rPr>
        <w:t>млрд</w:t>
      </w:r>
      <w:proofErr w:type="gramEnd"/>
      <w:r w:rsidRPr="00C53855">
        <w:rPr>
          <w:rFonts w:eastAsiaTheme="minorHAnsi"/>
          <w:color w:val="auto"/>
          <w:sz w:val="28"/>
          <w:szCs w:val="28"/>
          <w:lang w:eastAsia="en-US"/>
        </w:rPr>
        <w:t xml:space="preserve"> рублей (на 199 млн. руб. или 5% больше, чем в 2018 году), из них на транспортный налог приходится   2,4 млрд рублей, на земельный – 700 млн рублей, налог на имущество физических лиц –  1,1 млрд  рублей.</w:t>
      </w:r>
      <w:r w:rsidRPr="00C53855">
        <w:rPr>
          <w:color w:val="auto"/>
          <w:sz w:val="28"/>
          <w:szCs w:val="28"/>
        </w:rPr>
        <w:t xml:space="preserve"> </w:t>
      </w:r>
    </w:p>
    <w:p w:rsidR="003F5699" w:rsidRDefault="003F5699" w:rsidP="00C538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5699">
        <w:rPr>
          <w:noProof/>
          <w:color w:val="auto"/>
          <w:sz w:val="28"/>
          <w:szCs w:val="28"/>
        </w:rPr>
        <w:drawing>
          <wp:inline distT="0" distB="0" distL="0" distR="0" wp14:anchorId="479B7213" wp14:editId="4C49302C">
            <wp:extent cx="1207532" cy="85452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252" cy="85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D9" w:rsidRPr="00C53855" w:rsidRDefault="001E53D9" w:rsidP="00C5385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сравнения: </w:t>
      </w:r>
      <w:r w:rsidR="00165B5B">
        <w:rPr>
          <w:color w:val="auto"/>
          <w:sz w:val="28"/>
          <w:szCs w:val="28"/>
        </w:rPr>
        <w:t xml:space="preserve">на слайде представлена динамика </w:t>
      </w:r>
      <w:r>
        <w:rPr>
          <w:color w:val="auto"/>
          <w:sz w:val="28"/>
          <w:szCs w:val="28"/>
        </w:rPr>
        <w:t>сумм</w:t>
      </w:r>
      <w:r w:rsidR="00165B5B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начисленного налога на имущество ФЛ с 2014 года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тыс. руб.)</w:t>
      </w:r>
    </w:p>
    <w:tbl>
      <w:tblPr>
        <w:tblW w:w="5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65"/>
        <w:gridCol w:w="1701"/>
        <w:gridCol w:w="1134"/>
      </w:tblGrid>
      <w:tr w:rsidR="001E53D9" w:rsidRPr="001E53D9" w:rsidTr="001E53D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547 943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Рост/снижен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%</w:t>
            </w:r>
          </w:p>
        </w:tc>
      </w:tr>
      <w:tr w:rsidR="001E53D9" w:rsidRPr="001E53D9" w:rsidTr="001E53D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698 555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150 612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27.5%</w:t>
            </w:r>
          </w:p>
        </w:tc>
      </w:tr>
      <w:tr w:rsidR="001E53D9" w:rsidRPr="001E53D9" w:rsidTr="001E53D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932 143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233 588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33.4%</w:t>
            </w:r>
          </w:p>
        </w:tc>
      </w:tr>
      <w:tr w:rsidR="001E53D9" w:rsidRPr="001E53D9" w:rsidTr="001E53D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970 957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38 814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4.2%</w:t>
            </w:r>
          </w:p>
        </w:tc>
      </w:tr>
      <w:tr w:rsidR="001E53D9" w:rsidRPr="001E53D9" w:rsidTr="001E53D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1 093 628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122 671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53D9" w:rsidRPr="001E53D9" w:rsidRDefault="001E53D9">
            <w:pPr>
              <w:jc w:val="right"/>
              <w:rPr>
                <w:color w:val="000000"/>
                <w:sz w:val="22"/>
                <w:szCs w:val="22"/>
              </w:rPr>
            </w:pPr>
            <w:r w:rsidRPr="001E53D9">
              <w:rPr>
                <w:color w:val="000000"/>
                <w:sz w:val="22"/>
                <w:szCs w:val="22"/>
              </w:rPr>
              <w:t>12.6%</w:t>
            </w:r>
          </w:p>
        </w:tc>
      </w:tr>
    </w:tbl>
    <w:p w:rsidR="001E53D9" w:rsidRPr="00C53855" w:rsidRDefault="003F5699" w:rsidP="00C5385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Налог за 5 лет вырос в 2 раза</w:t>
      </w:r>
    </w:p>
    <w:p w:rsidR="00DC6C0B" w:rsidRPr="00C53855" w:rsidRDefault="00DC6C0B" w:rsidP="001E53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53855">
        <w:rPr>
          <w:rFonts w:eastAsiaTheme="minorHAnsi"/>
          <w:color w:val="auto"/>
          <w:sz w:val="28"/>
          <w:szCs w:val="28"/>
          <w:lang w:eastAsia="en-US"/>
        </w:rPr>
        <w:t xml:space="preserve">В 2019 году сформировано </w:t>
      </w:r>
      <w:r w:rsidRPr="00C53855">
        <w:rPr>
          <w:color w:val="auto"/>
          <w:sz w:val="28"/>
          <w:szCs w:val="28"/>
        </w:rPr>
        <w:t>1 </w:t>
      </w:r>
      <w:proofErr w:type="gramStart"/>
      <w:r w:rsidRPr="00C53855">
        <w:rPr>
          <w:color w:val="auto"/>
          <w:sz w:val="28"/>
          <w:szCs w:val="28"/>
        </w:rPr>
        <w:t>млн</w:t>
      </w:r>
      <w:proofErr w:type="gramEnd"/>
      <w:r w:rsidRPr="00C53855">
        <w:rPr>
          <w:color w:val="auto"/>
          <w:sz w:val="28"/>
          <w:szCs w:val="28"/>
        </w:rPr>
        <w:t xml:space="preserve"> 300 тысяч сводных налоговых уведомлений, из которых 1 млн направлен налогоплательщикам на бумажных носителях, 300 тысяч уведомлений размещены в электронном виде в интернет-сервисе «Личный кабинет налогоплательщика». </w:t>
      </w:r>
    </w:p>
    <w:p w:rsidR="00DC6C0B" w:rsidRDefault="00DC6C0B" w:rsidP="001E53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855">
        <w:rPr>
          <w:rFonts w:eastAsiaTheme="minorHAnsi"/>
          <w:sz w:val="28"/>
          <w:szCs w:val="28"/>
          <w:lang w:eastAsia="en-US"/>
        </w:rPr>
        <w:t>Для сравнения - в 2018 году было сформировано 1 250 тысяч сводных налоговых уведомлений: из них, 231 тысяча уведомлений размещены в «Личном кабинете налогоплательщиков», в отделения почтовой связи было направлено 1 020 тысяч платежных документов.</w:t>
      </w:r>
      <w:proofErr w:type="gramEnd"/>
    </w:p>
    <w:p w:rsidR="003F5699" w:rsidRPr="00C53855" w:rsidRDefault="003F5699" w:rsidP="001E53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699">
        <w:rPr>
          <w:rFonts w:eastAsiaTheme="minorHAnsi"/>
          <w:noProof/>
          <w:sz w:val="28"/>
          <w:szCs w:val="28"/>
        </w:rPr>
        <w:drawing>
          <wp:inline distT="0" distB="0" distL="0" distR="0" wp14:anchorId="031E5A73" wp14:editId="6A26D039">
            <wp:extent cx="1415143" cy="100144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5987" cy="100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CF" w:rsidRPr="00C53855" w:rsidRDefault="006B17CF" w:rsidP="001E53D9">
      <w:pPr>
        <w:widowControl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В 2019 году налоговые уведомления направлены по новой форме.</w:t>
      </w:r>
    </w:p>
    <w:p w:rsidR="00165B5B" w:rsidRDefault="00D079F7" w:rsidP="001E53D9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 Теперь </w:t>
      </w:r>
      <w:r w:rsidR="00165B5B" w:rsidRPr="00C53855">
        <w:rPr>
          <w:sz w:val="28"/>
          <w:szCs w:val="28"/>
        </w:rPr>
        <w:t xml:space="preserve">вместе с уведомлением </w:t>
      </w:r>
      <w:r w:rsidR="00165B5B">
        <w:rPr>
          <w:sz w:val="28"/>
          <w:szCs w:val="28"/>
        </w:rPr>
        <w:t>не</w:t>
      </w:r>
      <w:r w:rsidR="00165B5B" w:rsidRPr="00C53855">
        <w:rPr>
          <w:sz w:val="28"/>
          <w:szCs w:val="28"/>
        </w:rPr>
        <w:t xml:space="preserve"> направля</w:t>
      </w:r>
      <w:r w:rsidR="00165B5B">
        <w:rPr>
          <w:sz w:val="28"/>
          <w:szCs w:val="28"/>
        </w:rPr>
        <w:t>ет</w:t>
      </w:r>
      <w:r w:rsidR="00165B5B" w:rsidRPr="00C53855">
        <w:rPr>
          <w:sz w:val="28"/>
          <w:szCs w:val="28"/>
        </w:rPr>
        <w:t>ся платежны</w:t>
      </w:r>
      <w:r w:rsidR="00165B5B">
        <w:rPr>
          <w:sz w:val="28"/>
          <w:szCs w:val="28"/>
        </w:rPr>
        <w:t>й</w:t>
      </w:r>
      <w:r w:rsidR="00165B5B" w:rsidRPr="00C53855">
        <w:rPr>
          <w:sz w:val="28"/>
          <w:szCs w:val="28"/>
        </w:rPr>
        <w:t xml:space="preserve"> документ</w:t>
      </w:r>
      <w:r w:rsidR="00165B5B">
        <w:rPr>
          <w:sz w:val="28"/>
          <w:szCs w:val="28"/>
        </w:rPr>
        <w:t>.</w:t>
      </w:r>
      <w:r w:rsidRPr="00C53855">
        <w:rPr>
          <w:sz w:val="28"/>
          <w:szCs w:val="28"/>
        </w:rPr>
        <w:t xml:space="preserve"> </w:t>
      </w:r>
      <w:r w:rsidR="00165B5B">
        <w:rPr>
          <w:sz w:val="28"/>
          <w:szCs w:val="28"/>
        </w:rPr>
        <w:t>И</w:t>
      </w:r>
      <w:r w:rsidRPr="00C53855">
        <w:rPr>
          <w:sz w:val="28"/>
          <w:szCs w:val="28"/>
        </w:rPr>
        <w:t>нформация для перечисления налогов в бюджет</w:t>
      </w:r>
      <w:r w:rsidR="00165B5B">
        <w:rPr>
          <w:sz w:val="28"/>
          <w:szCs w:val="28"/>
        </w:rPr>
        <w:t xml:space="preserve"> включена в само уведомление.</w:t>
      </w:r>
    </w:p>
    <w:p w:rsidR="003F5699" w:rsidRPr="00C53855" w:rsidRDefault="006B17CF" w:rsidP="00165B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В</w:t>
      </w:r>
      <w:r w:rsidR="00D079F7" w:rsidRPr="00C53855">
        <w:rPr>
          <w:sz w:val="28"/>
          <w:szCs w:val="28"/>
        </w:rPr>
        <w:t xml:space="preserve"> измененной форме содержатся полные реквизиты платежа и уникальный идентификатор,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устройства. В налоговом уведомлении теперь не содержатся сведения об объектах имущества, по которым не предъявляются налоговые платежи. Например, если гражданин использует налоговую льготу, которая освобождает его от уплаты налога, или у физлица есть переплата, покрывающая сумму налога. </w:t>
      </w:r>
    </w:p>
    <w:p w:rsidR="003F5699" w:rsidRPr="00C53855" w:rsidRDefault="003F5699" w:rsidP="003F56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С 2019 года Пермский край вошел в число 7 регионов РФ </w:t>
      </w:r>
      <w:r w:rsidRPr="00C53855">
        <w:rPr>
          <w:sz w:val="28"/>
          <w:szCs w:val="28"/>
          <w:shd w:val="clear" w:color="auto" w:fill="FFFFFF"/>
        </w:rPr>
        <w:t>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первый год</w:t>
      </w:r>
      <w:r w:rsidRPr="00C53855">
        <w:rPr>
          <w:sz w:val="28"/>
          <w:szCs w:val="28"/>
        </w:rPr>
        <w:t>.</w:t>
      </w:r>
    </w:p>
    <w:p w:rsidR="00C07B29" w:rsidRPr="00C53855" w:rsidRDefault="00165B5B" w:rsidP="001E53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07B29" w:rsidRPr="00C53855">
        <w:rPr>
          <w:sz w:val="28"/>
          <w:szCs w:val="28"/>
        </w:rPr>
        <w:t>озможность перейти на исчисление налога с кадастровой стоимости появилась у регионов в 2015 году. Полностью переход завершится к 2020 году.</w:t>
      </w:r>
    </w:p>
    <w:p w:rsidR="00864D1F" w:rsidRPr="00C53855" w:rsidRDefault="00864D1F" w:rsidP="00C538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Исчисление налога от кадастровой стоимости направлен</w:t>
      </w:r>
      <w:r w:rsidR="00165B5B">
        <w:rPr>
          <w:sz w:val="28"/>
          <w:szCs w:val="28"/>
        </w:rPr>
        <w:t>о</w:t>
      </w:r>
      <w:r w:rsidRPr="00C53855">
        <w:rPr>
          <w:sz w:val="28"/>
          <w:szCs w:val="28"/>
        </w:rPr>
        <w:t xml:space="preserve"> на справедливое распределение налоговой нагрузки. Впервые в налоговый оборот вовлечены объекты недвижимости, права на которые возникли после 2013 года и которые не имели инвентаризационной стоимости (техническая инвентаризация отменена с 2013 года). 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Кроме того, кадастровая стоимость, в отличие от </w:t>
      </w:r>
      <w:proofErr w:type="gramStart"/>
      <w:r w:rsidRPr="00C53855">
        <w:rPr>
          <w:sz w:val="28"/>
          <w:szCs w:val="28"/>
        </w:rPr>
        <w:t>инвентаризационной</w:t>
      </w:r>
      <w:proofErr w:type="gramEnd"/>
      <w:r w:rsidRPr="00C53855">
        <w:rPr>
          <w:sz w:val="28"/>
          <w:szCs w:val="28"/>
        </w:rPr>
        <w:t xml:space="preserve">, максимально приближена к рыночному уровню. 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Для физических лиц при переходе на новый метод расчета предусмотрен переходный период, т.е. налог будет увеличиваться поэтапно.</w:t>
      </w:r>
    </w:p>
    <w:p w:rsidR="00C07B29" w:rsidRDefault="00C07B29" w:rsidP="00C5385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53855">
        <w:rPr>
          <w:sz w:val="28"/>
          <w:szCs w:val="28"/>
        </w:rPr>
        <w:t>Рассмотрим</w:t>
      </w:r>
      <w:proofErr w:type="gramEnd"/>
      <w:r w:rsidRPr="00C53855">
        <w:rPr>
          <w:sz w:val="28"/>
          <w:szCs w:val="28"/>
        </w:rPr>
        <w:t xml:space="preserve"> какие условия взимания налога остались прежними, а какие изменились при переходе на исчисление налога исходя из  кадастровой стоимости </w:t>
      </w:r>
    </w:p>
    <w:p w:rsidR="003F5699" w:rsidRPr="00C53855" w:rsidRDefault="003F5699" w:rsidP="00C53855">
      <w:pPr>
        <w:ind w:firstLine="709"/>
        <w:contextualSpacing/>
        <w:jc w:val="both"/>
        <w:rPr>
          <w:sz w:val="28"/>
          <w:szCs w:val="28"/>
        </w:rPr>
      </w:pPr>
      <w:r w:rsidRPr="003F5699">
        <w:rPr>
          <w:noProof/>
          <w:sz w:val="28"/>
          <w:szCs w:val="28"/>
        </w:rPr>
        <w:drawing>
          <wp:inline distT="0" distB="0" distL="0" distR="0" wp14:anchorId="4D6FBB2B" wp14:editId="1CB8364B">
            <wp:extent cx="1306286" cy="924413"/>
            <wp:effectExtent l="0" t="0" r="825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0016" cy="92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1F" w:rsidRPr="00C53855" w:rsidRDefault="00DD3EBE" w:rsidP="00C538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7B29" w:rsidRPr="00C53855">
        <w:rPr>
          <w:sz w:val="28"/>
          <w:szCs w:val="28"/>
        </w:rPr>
        <w:t xml:space="preserve">охраняется действие полного освобождения от уплаты налога </w:t>
      </w:r>
      <w:r w:rsidR="00864D1F" w:rsidRPr="00C53855">
        <w:rPr>
          <w:sz w:val="28"/>
          <w:szCs w:val="28"/>
        </w:rPr>
        <w:t>для 15 категорий ФЛ, определенны</w:t>
      </w:r>
      <w:r w:rsidR="00C07B29" w:rsidRPr="00C53855">
        <w:rPr>
          <w:sz w:val="28"/>
          <w:szCs w:val="28"/>
        </w:rPr>
        <w:t>х</w:t>
      </w:r>
      <w:r w:rsidR="00864D1F" w:rsidRPr="00C53855">
        <w:rPr>
          <w:sz w:val="28"/>
          <w:szCs w:val="28"/>
        </w:rPr>
        <w:t xml:space="preserve"> НК </w:t>
      </w:r>
      <w:r w:rsidR="00C07B29" w:rsidRPr="00C53855">
        <w:rPr>
          <w:sz w:val="28"/>
          <w:szCs w:val="28"/>
        </w:rPr>
        <w:t xml:space="preserve">РФ (пенсионеры, инвалиды, участники войн и боевых действий, чернобыльцы, военнослужащие и т.д.) </w:t>
      </w:r>
      <w:r w:rsidR="00864D1F" w:rsidRPr="00C53855">
        <w:rPr>
          <w:sz w:val="28"/>
          <w:szCs w:val="28"/>
        </w:rPr>
        <w:t>в отношении</w:t>
      </w:r>
      <w:r w:rsidR="00C07B29" w:rsidRPr="00C53855">
        <w:rPr>
          <w:sz w:val="28"/>
          <w:szCs w:val="28"/>
        </w:rPr>
        <w:t xml:space="preserve"> 1</w:t>
      </w:r>
      <w:r w:rsidR="00864D1F" w:rsidRPr="00C53855">
        <w:rPr>
          <w:sz w:val="28"/>
          <w:szCs w:val="28"/>
        </w:rPr>
        <w:t xml:space="preserve"> объекта каждого из 5 видов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Квартира (комната</w:t>
      </w:r>
      <w:r w:rsidR="00C07B29" w:rsidRPr="00C53855">
        <w:rPr>
          <w:sz w:val="28"/>
          <w:szCs w:val="28"/>
        </w:rPr>
        <w:t>)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Жилой дом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Гараж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C53855">
        <w:rPr>
          <w:sz w:val="28"/>
          <w:szCs w:val="28"/>
        </w:rPr>
        <w:t>Хозпостройка</w:t>
      </w:r>
      <w:proofErr w:type="spellEnd"/>
      <w:r w:rsidRPr="00C53855">
        <w:rPr>
          <w:sz w:val="28"/>
          <w:szCs w:val="28"/>
        </w:rPr>
        <w:t xml:space="preserve"> до 50 </w:t>
      </w:r>
      <w:proofErr w:type="spellStart"/>
      <w:r w:rsidRPr="00C53855">
        <w:rPr>
          <w:sz w:val="28"/>
          <w:szCs w:val="28"/>
        </w:rPr>
        <w:t>кв.м</w:t>
      </w:r>
      <w:proofErr w:type="spellEnd"/>
      <w:r w:rsidRPr="00C53855">
        <w:rPr>
          <w:sz w:val="28"/>
          <w:szCs w:val="28"/>
        </w:rPr>
        <w:t>.</w:t>
      </w:r>
    </w:p>
    <w:p w:rsidR="00864D1F" w:rsidRPr="00C53855" w:rsidRDefault="00864D1F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>Творческая мастерская, студия</w:t>
      </w:r>
    </w:p>
    <w:p w:rsidR="00C07B29" w:rsidRPr="00C53855" w:rsidRDefault="00C07B29" w:rsidP="00C53855">
      <w:pPr>
        <w:ind w:firstLine="709"/>
        <w:contextualSpacing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Главное и существенное отличие – порядок определения налоговой базы. </w:t>
      </w:r>
      <w:r w:rsidR="00864D1F" w:rsidRPr="00C53855">
        <w:rPr>
          <w:sz w:val="28"/>
          <w:szCs w:val="28"/>
        </w:rPr>
        <w:t xml:space="preserve">Налоговая база </w:t>
      </w:r>
      <w:r w:rsidRPr="00C53855">
        <w:rPr>
          <w:sz w:val="28"/>
          <w:szCs w:val="28"/>
        </w:rPr>
        <w:t>– кадастровая стоимость, полученная в виде сведений из</w:t>
      </w:r>
      <w:r w:rsidR="00864D1F" w:rsidRPr="00C53855">
        <w:rPr>
          <w:sz w:val="28"/>
          <w:szCs w:val="28"/>
        </w:rPr>
        <w:t xml:space="preserve"> ЕГРН</w:t>
      </w:r>
      <w:r w:rsidRPr="00C53855">
        <w:rPr>
          <w:sz w:val="28"/>
          <w:szCs w:val="28"/>
        </w:rPr>
        <w:t>. Налог за 2018 год исчислен по стоимости, определенной в 2012 году в соответствии с Постановлением Правительства Пермского края от 28.12.2012 N 1588-п "Об утверждении результатов определения кадастровой стоимости объектов недвижимости (за исключением земельных участков) на территории Пермского края".</w:t>
      </w:r>
    </w:p>
    <w:p w:rsidR="00D71F59" w:rsidRPr="00C53855" w:rsidRDefault="00BA00E9" w:rsidP="00C53855">
      <w:pPr>
        <w:ind w:firstLine="709"/>
        <w:contextualSpacing/>
        <w:jc w:val="both"/>
        <w:rPr>
          <w:bCs/>
          <w:sz w:val="28"/>
          <w:szCs w:val="28"/>
        </w:rPr>
      </w:pPr>
      <w:r w:rsidRPr="00C53855">
        <w:rPr>
          <w:sz w:val="28"/>
          <w:szCs w:val="28"/>
          <w:shd w:val="clear" w:color="auto" w:fill="FFFFFF"/>
        </w:rPr>
        <w:t xml:space="preserve">При определении налоговой базы в отношении некоторых объектов применяется </w:t>
      </w:r>
      <w:r w:rsidR="00D71F59" w:rsidRPr="00C53855">
        <w:rPr>
          <w:sz w:val="28"/>
          <w:szCs w:val="28"/>
        </w:rPr>
        <w:t>НАЛОГОВЫЙ ВЫЧЕТ</w:t>
      </w:r>
    </w:p>
    <w:p w:rsidR="00D71F59" w:rsidRPr="00C53855" w:rsidRDefault="00D71F59" w:rsidP="00C53855">
      <w:pPr>
        <w:pStyle w:val="afa"/>
        <w:spacing w:before="0" w:beforeAutospacing="0" w:after="0" w:afterAutospacing="0"/>
        <w:ind w:firstLine="709"/>
        <w:textAlignment w:val="top"/>
        <w:rPr>
          <w:bCs/>
          <w:sz w:val="28"/>
          <w:szCs w:val="28"/>
        </w:rPr>
      </w:pPr>
      <w:r w:rsidRPr="00C53855">
        <w:rPr>
          <w:bCs/>
          <w:sz w:val="28"/>
          <w:szCs w:val="28"/>
        </w:rPr>
        <w:t>Налоговый вычет предусматривает, что налогом не облагаются:</w:t>
      </w:r>
    </w:p>
    <w:p w:rsidR="00D71F59" w:rsidRPr="00C53855" w:rsidRDefault="00D71F59" w:rsidP="00C53855">
      <w:pPr>
        <w:pStyle w:val="afa"/>
        <w:numPr>
          <w:ilvl w:val="0"/>
          <w:numId w:val="31"/>
        </w:numPr>
        <w:spacing w:before="0" w:beforeAutospacing="0" w:after="0" w:afterAutospacing="0"/>
        <w:ind w:left="0" w:firstLine="709"/>
        <w:textAlignment w:val="top"/>
        <w:rPr>
          <w:sz w:val="28"/>
          <w:szCs w:val="28"/>
        </w:rPr>
      </w:pPr>
      <w:r w:rsidRPr="00C53855">
        <w:rPr>
          <w:sz w:val="28"/>
          <w:szCs w:val="28"/>
        </w:rPr>
        <w:t xml:space="preserve">50 </w:t>
      </w:r>
      <w:proofErr w:type="spellStart"/>
      <w:r w:rsidRPr="00C53855">
        <w:rPr>
          <w:sz w:val="28"/>
          <w:szCs w:val="28"/>
        </w:rPr>
        <w:t>кв</w:t>
      </w:r>
      <w:proofErr w:type="gramStart"/>
      <w:r w:rsidRPr="00C53855">
        <w:rPr>
          <w:sz w:val="28"/>
          <w:szCs w:val="28"/>
        </w:rPr>
        <w:t>.м</w:t>
      </w:r>
      <w:proofErr w:type="spellEnd"/>
      <w:proofErr w:type="gramEnd"/>
      <w:r w:rsidRPr="00C53855">
        <w:rPr>
          <w:sz w:val="28"/>
          <w:szCs w:val="28"/>
        </w:rPr>
        <w:t>, если вы владеете жилым домом;</w:t>
      </w:r>
    </w:p>
    <w:p w:rsidR="00D71F59" w:rsidRPr="00C53855" w:rsidRDefault="00D71F59" w:rsidP="00C53855">
      <w:pPr>
        <w:pStyle w:val="afa"/>
        <w:numPr>
          <w:ilvl w:val="0"/>
          <w:numId w:val="31"/>
        </w:numPr>
        <w:spacing w:before="0" w:beforeAutospacing="0" w:after="0" w:afterAutospacing="0"/>
        <w:ind w:left="0" w:firstLine="709"/>
        <w:textAlignment w:val="top"/>
        <w:rPr>
          <w:sz w:val="28"/>
          <w:szCs w:val="28"/>
        </w:rPr>
      </w:pPr>
      <w:r w:rsidRPr="00C53855">
        <w:rPr>
          <w:sz w:val="28"/>
          <w:szCs w:val="28"/>
        </w:rPr>
        <w:t xml:space="preserve">20 </w:t>
      </w:r>
      <w:proofErr w:type="spellStart"/>
      <w:r w:rsidRPr="00C53855">
        <w:rPr>
          <w:sz w:val="28"/>
          <w:szCs w:val="28"/>
        </w:rPr>
        <w:t>кв</w:t>
      </w:r>
      <w:proofErr w:type="gramStart"/>
      <w:r w:rsidRPr="00C53855">
        <w:rPr>
          <w:sz w:val="28"/>
          <w:szCs w:val="28"/>
        </w:rPr>
        <w:t>.м</w:t>
      </w:r>
      <w:proofErr w:type="spellEnd"/>
      <w:proofErr w:type="gramEnd"/>
      <w:r w:rsidRPr="00C53855">
        <w:rPr>
          <w:sz w:val="28"/>
          <w:szCs w:val="28"/>
        </w:rPr>
        <w:t>, если вы владеете квартирой;</w:t>
      </w:r>
    </w:p>
    <w:p w:rsidR="00D71F59" w:rsidRPr="00C53855" w:rsidRDefault="00D71F59" w:rsidP="00C53855">
      <w:pPr>
        <w:pStyle w:val="afa"/>
        <w:numPr>
          <w:ilvl w:val="0"/>
          <w:numId w:val="31"/>
        </w:numPr>
        <w:spacing w:before="0" w:beforeAutospacing="0" w:after="0" w:afterAutospacing="0"/>
        <w:ind w:left="0" w:firstLine="709"/>
        <w:textAlignment w:val="top"/>
        <w:rPr>
          <w:sz w:val="28"/>
          <w:szCs w:val="28"/>
        </w:rPr>
      </w:pPr>
      <w:r w:rsidRPr="00C53855">
        <w:rPr>
          <w:sz w:val="28"/>
          <w:szCs w:val="28"/>
        </w:rPr>
        <w:t xml:space="preserve">10 </w:t>
      </w:r>
      <w:proofErr w:type="spellStart"/>
      <w:r w:rsidRPr="00C53855">
        <w:rPr>
          <w:sz w:val="28"/>
          <w:szCs w:val="28"/>
        </w:rPr>
        <w:t>кв</w:t>
      </w:r>
      <w:proofErr w:type="gramStart"/>
      <w:r w:rsidRPr="00C53855">
        <w:rPr>
          <w:sz w:val="28"/>
          <w:szCs w:val="28"/>
        </w:rPr>
        <w:t>.м</w:t>
      </w:r>
      <w:proofErr w:type="spellEnd"/>
      <w:proofErr w:type="gramEnd"/>
      <w:r w:rsidRPr="00C53855">
        <w:rPr>
          <w:sz w:val="28"/>
          <w:szCs w:val="28"/>
        </w:rPr>
        <w:t>, если вы владеете комнатой.</w:t>
      </w:r>
    </w:p>
    <w:p w:rsidR="00D71F59" w:rsidRPr="00C53855" w:rsidRDefault="00D71F59" w:rsidP="00C53855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385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На каждый объект недвижимости предоставляется один налоговый вычет, он не зависит от количества собственников и от того, относятся ли собственники к льготной категории.</w:t>
      </w:r>
      <w:r w:rsidRPr="00C53855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</w:t>
      </w:r>
      <w:r w:rsidRPr="00C53855">
        <w:rPr>
          <w:rFonts w:ascii="Times New Roman" w:hAnsi="Times New Roman" w:cs="Times New Roman"/>
          <w:b w:val="0"/>
          <w:color w:val="auto"/>
          <w:sz w:val="28"/>
          <w:szCs w:val="28"/>
        </w:rPr>
        <w:t>То есть, налоговый вычет будет одинаковый для квартиры с тремя собственниками и для квартиры с одним собственником.</w:t>
      </w:r>
    </w:p>
    <w:p w:rsidR="00D71F59" w:rsidRPr="00C53855" w:rsidRDefault="00D71F59" w:rsidP="00C53855">
      <w:pPr>
        <w:pStyle w:val="afa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C53855">
        <w:rPr>
          <w:sz w:val="28"/>
          <w:szCs w:val="28"/>
        </w:rPr>
        <w:t xml:space="preserve">Кадастровая стоимость недвижимости в налоговом уведомлении, которые </w:t>
      </w:r>
      <w:r w:rsidR="00BA00E9" w:rsidRPr="00C53855">
        <w:rPr>
          <w:sz w:val="28"/>
          <w:szCs w:val="28"/>
        </w:rPr>
        <w:t>получили плательщики</w:t>
      </w:r>
      <w:r w:rsidRPr="00C53855">
        <w:rPr>
          <w:sz w:val="28"/>
          <w:szCs w:val="28"/>
        </w:rPr>
        <w:t>, уже будет уменьшена на кадастровую стоимость налогового вычета.</w:t>
      </w:r>
    </w:p>
    <w:p w:rsidR="00BA00E9" w:rsidRPr="00C53855" w:rsidRDefault="00BA00E9" w:rsidP="00C53855">
      <w:pPr>
        <w:pStyle w:val="af9"/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В 2019 году законодатель предусмотрел дополнительные налоговые преференции для многодетных семей.</w:t>
      </w:r>
    </w:p>
    <w:p w:rsidR="00BA00E9" w:rsidRPr="00C53855" w:rsidRDefault="00BA00E9" w:rsidP="00C53855">
      <w:pPr>
        <w:pStyle w:val="af9"/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Начиная с налогового периода 2018 года при расчете налога лицам, имеющим трех и более несовершеннолетних детей, применены дополнительные налоговые вычеты, которые уменьшают:</w:t>
      </w:r>
    </w:p>
    <w:p w:rsidR="00BA00E9" w:rsidRPr="00C53855" w:rsidRDefault="00BA00E9" w:rsidP="001E53D9">
      <w:pPr>
        <w:pStyle w:val="af9"/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- </w:t>
      </w:r>
      <w:r w:rsidRPr="00C53855">
        <w:rPr>
          <w:sz w:val="28"/>
          <w:szCs w:val="28"/>
        </w:rPr>
        <w:tab/>
        <w:t>земельный налог на кадастровую стоимость 600 кв. м площади одного участка;</w:t>
      </w:r>
    </w:p>
    <w:p w:rsidR="00BA00E9" w:rsidRPr="00C53855" w:rsidRDefault="00BA00E9" w:rsidP="001E53D9">
      <w:pPr>
        <w:pStyle w:val="af9"/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- </w:t>
      </w:r>
      <w:r w:rsidRPr="00C53855">
        <w:rPr>
          <w:sz w:val="28"/>
          <w:szCs w:val="28"/>
        </w:rPr>
        <w:tab/>
        <w:t>налог на имущество на кадастровую стоимость 5 кв. м от общей площади одной квартиры, комнаты и 7 кв. м от общей площади одного жилого дома в расчете на каждого несовершеннолетнего ребенка.</w:t>
      </w:r>
    </w:p>
    <w:p w:rsidR="00BA00E9" w:rsidRPr="00C53855" w:rsidRDefault="00BA00E9" w:rsidP="001E53D9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Данный налоговый вычет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4" w:history="1">
        <w:r w:rsidRPr="00C53855">
          <w:rPr>
            <w:rStyle w:val="afb"/>
            <w:color w:val="auto"/>
            <w:sz w:val="28"/>
            <w:szCs w:val="28"/>
          </w:rPr>
          <w:t>пунктами 6 и 7 статьи 407</w:t>
        </w:r>
      </w:hyperlink>
      <w:r w:rsidRPr="00C53855">
        <w:rPr>
          <w:sz w:val="28"/>
          <w:szCs w:val="28"/>
        </w:rPr>
        <w:t xml:space="preserve"> НК РФ, в том числе в случае непредставления в налоговый орган соответствующего заявления, уведомления.</w:t>
      </w:r>
    </w:p>
    <w:p w:rsidR="00BA00E9" w:rsidRPr="00C53855" w:rsidRDefault="00BA00E9" w:rsidP="001E53D9">
      <w:pPr>
        <w:pStyle w:val="af9"/>
        <w:ind w:left="0" w:firstLine="709"/>
        <w:jc w:val="both"/>
        <w:rPr>
          <w:i/>
          <w:sz w:val="28"/>
          <w:szCs w:val="28"/>
        </w:rPr>
      </w:pPr>
      <w:r w:rsidRPr="00C53855">
        <w:rPr>
          <w:i/>
          <w:sz w:val="28"/>
          <w:szCs w:val="28"/>
        </w:rPr>
        <w:t>Для многодетных граждан, сведения о которых уже есть у налоговых органов, вычеты применены автоматически. Многодетные граждане, информация о которых у налоговых органов отсутствует, могут обратиться в любое время за предоставлением вычетов в любую инспекцию с заявлением по установленной форме. В Пермском крае льгота «Лица, имеющие 3-х и более детей» уже применена при расчете налога на имущество за 2018 год 29 923 лицам, имеющим в собственности квартиры, комнаты и жилые дома, и при расчете земельного налога вычет предоставлен 23 611 налогоплательщику.</w:t>
      </w:r>
    </w:p>
    <w:p w:rsidR="00D71F59" w:rsidRPr="00C53855" w:rsidRDefault="00D71F59" w:rsidP="001E53D9">
      <w:pPr>
        <w:pStyle w:val="article-renderbloc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bCs/>
          <w:sz w:val="28"/>
          <w:szCs w:val="28"/>
        </w:rPr>
        <w:t>Налоговая ставка по кадастровой стоимости</w:t>
      </w:r>
      <w:r w:rsidRPr="00C53855">
        <w:rPr>
          <w:sz w:val="28"/>
          <w:szCs w:val="28"/>
        </w:rPr>
        <w:t xml:space="preserve"> </w:t>
      </w:r>
      <w:r w:rsidR="00BA00E9" w:rsidRPr="00C53855">
        <w:rPr>
          <w:sz w:val="28"/>
          <w:szCs w:val="28"/>
        </w:rPr>
        <w:t>устанавливается представительными органами муниципальных образований в пределах, установленных НК РФ</w:t>
      </w:r>
      <w:r w:rsidRPr="00C53855">
        <w:rPr>
          <w:sz w:val="28"/>
          <w:szCs w:val="28"/>
        </w:rPr>
        <w:t>:</w:t>
      </w:r>
    </w:p>
    <w:p w:rsidR="00D71F59" w:rsidRPr="00C53855" w:rsidRDefault="00D71F59" w:rsidP="001E53D9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0,1% - жилые дома, квартиры и комнаты, включая недостроенные, единые недвижимые комплексы при наличии в них жилых помещений, гаражи и места для машин, а также постройки на садово-дачных участках площадью до 50 квадратов;</w:t>
      </w:r>
    </w:p>
    <w:p w:rsidR="00D71F59" w:rsidRPr="00C53855" w:rsidRDefault="00D71F59" w:rsidP="001E53D9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2% - административные центры, торговые помещения, коммерческая недвижимость под торговлю, услуги, офисы и пункты общественного питания, имущество дороже 300 </w:t>
      </w:r>
      <w:proofErr w:type="gramStart"/>
      <w:r w:rsidRPr="00C53855">
        <w:rPr>
          <w:sz w:val="28"/>
          <w:szCs w:val="28"/>
        </w:rPr>
        <w:t>млн</w:t>
      </w:r>
      <w:proofErr w:type="gramEnd"/>
      <w:r w:rsidRPr="00C53855">
        <w:rPr>
          <w:sz w:val="28"/>
          <w:szCs w:val="28"/>
        </w:rPr>
        <w:t xml:space="preserve"> рублей;</w:t>
      </w:r>
    </w:p>
    <w:p w:rsidR="00D71F59" w:rsidRPr="00C53855" w:rsidRDefault="00D71F59" w:rsidP="001E53D9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0,5% - иные объекты недвижимости</w:t>
      </w:r>
    </w:p>
    <w:p w:rsidR="00ED058A" w:rsidRPr="00C53855" w:rsidRDefault="001C2D9D" w:rsidP="001E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Налоговые ставки</w:t>
      </w:r>
      <w:r w:rsidR="00BA00E9" w:rsidRPr="00C53855">
        <w:rPr>
          <w:sz w:val="28"/>
          <w:szCs w:val="28"/>
        </w:rPr>
        <w:t xml:space="preserve"> для жилых домов, квартир и комнат, гаражей и мест для машин, а также построек на садово-дачных участках м</w:t>
      </w:r>
      <w:r w:rsidRPr="00C53855">
        <w:rPr>
          <w:sz w:val="28"/>
          <w:szCs w:val="28"/>
        </w:rPr>
        <w:t>огут быть уменьшены до нуля или увеличены, но не более чем в три раза нормативными правовыми актами представительных органов муниципальных образований</w:t>
      </w:r>
      <w:r w:rsidR="00BA00E9" w:rsidRPr="00C53855">
        <w:rPr>
          <w:sz w:val="28"/>
          <w:szCs w:val="28"/>
        </w:rPr>
        <w:t>.</w:t>
      </w:r>
      <w:r w:rsidR="00ED058A" w:rsidRPr="00C53855">
        <w:rPr>
          <w:sz w:val="28"/>
          <w:szCs w:val="28"/>
        </w:rPr>
        <w:t xml:space="preserve"> При этом допускается дифференциация налоговых ставок в зависимости от </w:t>
      </w:r>
      <w:r w:rsidR="00ED058A" w:rsidRPr="00C53855">
        <w:rPr>
          <w:sz w:val="28"/>
          <w:szCs w:val="28"/>
        </w:rPr>
        <w:lastRenderedPageBreak/>
        <w:t>кадастровой стоимости объекта налогообложения, вида объекта налогообложения, места нахождения объекта налогообложения,</w:t>
      </w:r>
    </w:p>
    <w:p w:rsidR="003F5699" w:rsidRDefault="003F5699" w:rsidP="001E53D9">
      <w:pPr>
        <w:ind w:firstLine="709"/>
        <w:jc w:val="both"/>
        <w:rPr>
          <w:sz w:val="28"/>
          <w:szCs w:val="28"/>
        </w:rPr>
      </w:pPr>
      <w:r w:rsidRPr="003F5699">
        <w:rPr>
          <w:noProof/>
          <w:sz w:val="28"/>
          <w:szCs w:val="28"/>
        </w:rPr>
        <w:drawing>
          <wp:inline distT="0" distB="0" distL="0" distR="0" wp14:anchorId="6FEF107F" wp14:editId="05C43223">
            <wp:extent cx="3036277" cy="214866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9942" cy="215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699">
        <w:rPr>
          <w:sz w:val="28"/>
          <w:szCs w:val="28"/>
        </w:rPr>
        <w:t xml:space="preserve"> </w:t>
      </w:r>
    </w:p>
    <w:p w:rsidR="00BA00E9" w:rsidRPr="00C53855" w:rsidRDefault="00BA00E9" w:rsidP="001E53D9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Например, решением Пермской Городской Думы по объектам, расположенным на территории муниципального образования город Пермь ставки налога на имущество физических лиц </w:t>
      </w:r>
      <w:r w:rsidR="00DD3EBE">
        <w:rPr>
          <w:sz w:val="28"/>
          <w:szCs w:val="28"/>
        </w:rPr>
        <w:t xml:space="preserve">в отношении квартир (правая сторона слайда) </w:t>
      </w:r>
      <w:r w:rsidRPr="00C53855">
        <w:rPr>
          <w:sz w:val="28"/>
          <w:szCs w:val="28"/>
        </w:rPr>
        <w:t>установлены в следующих размерах:</w:t>
      </w:r>
    </w:p>
    <w:p w:rsidR="00BA00E9" w:rsidRPr="00C53855" w:rsidRDefault="00BA00E9" w:rsidP="001E53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53"/>
      </w:tblGrid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Квартиры, части квартир: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с кадастровой стоимостью до 2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0,1</w:t>
            </w: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с кадастровой стоимостью от 2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до 4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0,15</w:t>
            </w: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с кадастровой стоимостью от 4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до 8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0,2</w:t>
            </w: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с кадастровой стоимостью свыше 8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до 300</w:t>
            </w:r>
            <w:r w:rsidR="00DD3EBE">
              <w:rPr>
                <w:b/>
                <w:sz w:val="16"/>
                <w:szCs w:val="16"/>
              </w:rPr>
              <w:t> </w:t>
            </w:r>
            <w:r w:rsidRPr="003F5699">
              <w:rPr>
                <w:b/>
                <w:sz w:val="16"/>
                <w:szCs w:val="16"/>
              </w:rPr>
              <w:t>000</w:t>
            </w:r>
            <w:r w:rsidR="00DD3EBE">
              <w:rPr>
                <w:b/>
                <w:sz w:val="16"/>
                <w:szCs w:val="16"/>
              </w:rPr>
              <w:t xml:space="preserve"> </w:t>
            </w:r>
            <w:r w:rsidRPr="003F5699">
              <w:rPr>
                <w:b/>
                <w:sz w:val="16"/>
                <w:szCs w:val="16"/>
              </w:rPr>
              <w:t>000 руб. включительно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3F5699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6"/>
                <w:szCs w:val="16"/>
              </w:rPr>
            </w:pPr>
            <w:r w:rsidRPr="003F5699">
              <w:rPr>
                <w:b/>
                <w:sz w:val="16"/>
                <w:szCs w:val="16"/>
              </w:rPr>
              <w:t>0,3</w:t>
            </w:r>
          </w:p>
        </w:tc>
      </w:tr>
      <w:tr w:rsidR="00C53855" w:rsidRPr="00C53855" w:rsidTr="00C53855"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в 2018 году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1,5</w:t>
            </w:r>
          </w:p>
        </w:tc>
      </w:tr>
      <w:tr w:rsidR="00C53855" w:rsidRPr="00C53855" w:rsidTr="00C53855"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в 2019 году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1,6</w:t>
            </w:r>
          </w:p>
        </w:tc>
      </w:tr>
      <w:tr w:rsidR="00C53855" w:rsidRPr="00C53855" w:rsidTr="00C53855"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в 2020 году и последующие годы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1,8</w:t>
            </w: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2,0</w:t>
            </w:r>
          </w:p>
        </w:tc>
      </w:tr>
      <w:tr w:rsidR="00C53855" w:rsidRPr="00C53855" w:rsidTr="00C53855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Прочие объекты налогообложения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E9" w:rsidRPr="00C53855" w:rsidRDefault="00BA00E9" w:rsidP="00C53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53855">
              <w:rPr>
                <w:sz w:val="16"/>
                <w:szCs w:val="16"/>
              </w:rPr>
              <w:t>0,5</w:t>
            </w:r>
          </w:p>
        </w:tc>
      </w:tr>
    </w:tbl>
    <w:p w:rsidR="00D71F59" w:rsidRDefault="00ED058A" w:rsidP="00C53855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Для сравнения – максимальная ставка налога исходя из инвентаризационной стоимости</w:t>
      </w:r>
      <w:r w:rsidR="00C53855">
        <w:rPr>
          <w:sz w:val="28"/>
          <w:szCs w:val="28"/>
        </w:rPr>
        <w:t xml:space="preserve">, применявшаяся до 2019 г для расчета налога </w:t>
      </w:r>
      <w:r w:rsidRPr="00C53855">
        <w:rPr>
          <w:sz w:val="28"/>
          <w:szCs w:val="28"/>
        </w:rPr>
        <w:t xml:space="preserve">по квартирам, жилым домам стоимостью свыше 500 тыс. руб. была установлена 0,6%. </w:t>
      </w:r>
    </w:p>
    <w:p w:rsidR="003F5699" w:rsidRPr="00C53855" w:rsidRDefault="003F5699" w:rsidP="00C53855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699">
        <w:rPr>
          <w:noProof/>
          <w:sz w:val="28"/>
          <w:szCs w:val="28"/>
        </w:rPr>
        <w:drawing>
          <wp:inline distT="0" distB="0" distL="0" distR="0" wp14:anchorId="75875EC8" wp14:editId="30889ADD">
            <wp:extent cx="1324708" cy="937449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8443" cy="9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rStyle w:val="afc"/>
          <w:b w:val="0"/>
          <w:sz w:val="28"/>
          <w:szCs w:val="28"/>
          <w:bdr w:val="none" w:sz="0" w:space="0" w:color="auto" w:frame="1"/>
        </w:rPr>
        <w:t>Переходный период</w:t>
      </w:r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3855">
        <w:rPr>
          <w:sz w:val="28"/>
          <w:szCs w:val="28"/>
        </w:rPr>
        <w:t xml:space="preserve">В целях недопущения резкого роста налоговой нагрузки у налогоплательщиков в связи с введением налога на имущество физических лиц исходя из кадастровой стоимости по сравнению с уровнем налоговых обязательств за предыдущий налоговый период </w:t>
      </w:r>
      <w:hyperlink r:id="rId17" w:history="1">
        <w:r w:rsidRPr="00C53855">
          <w:rPr>
            <w:sz w:val="28"/>
            <w:szCs w:val="28"/>
          </w:rPr>
          <w:t>пунктом 8 статьи 408</w:t>
        </w:r>
      </w:hyperlink>
      <w:r w:rsidRPr="00C53855">
        <w:rPr>
          <w:sz w:val="28"/>
          <w:szCs w:val="28"/>
        </w:rPr>
        <w:t xml:space="preserve"> Налогового кодекса предусмотрены временные понижающие коэффициенты, применяемые в течение первых трех налоговых периодов применения кадастровой стоимости.</w:t>
      </w:r>
      <w:proofErr w:type="gramEnd"/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lastRenderedPageBreak/>
        <w:t>Применение указанных коэффициентов направлено на постепенное увеличение суммы налога, исчисленной по инвентаризационной стоимости, на разницу между суммами налога, рассчитанными исходя из кадастровой стоимости и инвентаризационной стоимости.</w:t>
      </w:r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Кроме того, </w:t>
      </w:r>
      <w:proofErr w:type="gramStart"/>
      <w:r w:rsidRPr="00C53855">
        <w:rPr>
          <w:sz w:val="28"/>
          <w:szCs w:val="28"/>
        </w:rPr>
        <w:t xml:space="preserve">начиная с третьего налогового периода применения кадастровой стоимости для целей налогообложения </w:t>
      </w:r>
      <w:hyperlink r:id="rId18" w:history="1">
        <w:r w:rsidRPr="00C53855">
          <w:rPr>
            <w:sz w:val="28"/>
            <w:szCs w:val="28"/>
          </w:rPr>
          <w:t>пунктом 8.1 статьи 408</w:t>
        </w:r>
      </w:hyperlink>
      <w:r w:rsidRPr="00C53855">
        <w:rPr>
          <w:sz w:val="28"/>
          <w:szCs w:val="28"/>
        </w:rPr>
        <w:t xml:space="preserve"> Налогового кодекса предусмотрено применение коэффициента</w:t>
      </w:r>
      <w:proofErr w:type="gramEnd"/>
      <w:r w:rsidRPr="00C53855">
        <w:rPr>
          <w:sz w:val="28"/>
          <w:szCs w:val="28"/>
        </w:rPr>
        <w:t xml:space="preserve"> 1,1, ограничивающего рост налога на имущество физических лиц по кадастровой стоимости по сравнению с предыдущим налоговым периодом. Указанный коэффициент в Пермском крае </w:t>
      </w:r>
      <w:proofErr w:type="gramStart"/>
      <w:r w:rsidRPr="00C53855">
        <w:rPr>
          <w:sz w:val="28"/>
          <w:szCs w:val="28"/>
        </w:rPr>
        <w:t>будет применен начиная</w:t>
      </w:r>
      <w:proofErr w:type="gramEnd"/>
      <w:r w:rsidRPr="00C53855">
        <w:rPr>
          <w:sz w:val="28"/>
          <w:szCs w:val="28"/>
        </w:rPr>
        <w:t xml:space="preserve"> с исчисления налога на имущество физических лиц за 2020 год.</w:t>
      </w:r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В случае если налог по кадастровой стоимости в отношении объекта недвижимого имущества за предыдущий налоговый период не рассчитывался, то коэффициент 1,1 при исчислении налога не применяется, поскольку отсутствует сумма налога, подлежащая сравнению.</w:t>
      </w:r>
    </w:p>
    <w:p w:rsidR="00D71F59" w:rsidRPr="00C53855" w:rsidRDefault="00D71F59" w:rsidP="00C53855">
      <w:pPr>
        <w:pStyle w:val="afa"/>
        <w:spacing w:before="0" w:beforeAutospacing="0" w:after="0" w:afterAutospacing="0"/>
        <w:ind w:firstLine="709"/>
        <w:rPr>
          <w:sz w:val="28"/>
          <w:szCs w:val="28"/>
        </w:rPr>
      </w:pPr>
    </w:p>
    <w:p w:rsidR="00ED058A" w:rsidRPr="00C53855" w:rsidRDefault="001E737B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  <w:shd w:val="clear" w:color="auto" w:fill="FFFFFF"/>
        </w:rPr>
        <w:t xml:space="preserve">Сумма налога за первые три налоговых периода с начала применения порядка определения налоговой базы </w:t>
      </w:r>
      <w:proofErr w:type="gramStart"/>
      <w:r w:rsidRPr="00C53855">
        <w:rPr>
          <w:sz w:val="28"/>
          <w:szCs w:val="28"/>
          <w:shd w:val="clear" w:color="auto" w:fill="FFFFFF"/>
        </w:rPr>
        <w:t>исходя из кадастровой стоимости объекта налогообложения исчисляется</w:t>
      </w:r>
      <w:proofErr w:type="gramEnd"/>
      <w:r w:rsidRPr="00C53855">
        <w:rPr>
          <w:sz w:val="28"/>
          <w:szCs w:val="28"/>
          <w:shd w:val="clear" w:color="auto" w:fill="FFFFFF"/>
        </w:rPr>
        <w:t xml:space="preserve"> по следующей формуле: </w:t>
      </w:r>
      <w:r w:rsidRPr="00C53855">
        <w:rPr>
          <w:sz w:val="28"/>
          <w:szCs w:val="28"/>
        </w:rPr>
        <w:br/>
      </w:r>
      <w:r w:rsidR="00ED058A" w:rsidRPr="00C53855">
        <w:rPr>
          <w:sz w:val="28"/>
          <w:szCs w:val="28"/>
        </w:rPr>
        <w:t xml:space="preserve">В первые три года после начала исчисления </w:t>
      </w:r>
      <w:proofErr w:type="gramStart"/>
      <w:r w:rsidR="00ED058A" w:rsidRPr="00C53855">
        <w:rPr>
          <w:sz w:val="28"/>
          <w:szCs w:val="28"/>
        </w:rPr>
        <w:t>налога</w:t>
      </w:r>
      <w:proofErr w:type="gramEnd"/>
      <w:r w:rsidR="00ED058A" w:rsidRPr="00C53855">
        <w:rPr>
          <w:sz w:val="28"/>
          <w:szCs w:val="28"/>
        </w:rPr>
        <w:t xml:space="preserve"> на имущество исходя из кадастровой стоимости размер налога высчитывается по формуле: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(Н1 — Н2) х</w:t>
      </w:r>
      <w:proofErr w:type="gramStart"/>
      <w:r w:rsidRPr="00C53855">
        <w:rPr>
          <w:sz w:val="28"/>
          <w:szCs w:val="28"/>
        </w:rPr>
        <w:t xml:space="preserve"> К</w:t>
      </w:r>
      <w:proofErr w:type="gramEnd"/>
      <w:r w:rsidRPr="00C53855">
        <w:rPr>
          <w:sz w:val="28"/>
          <w:szCs w:val="28"/>
        </w:rPr>
        <w:t xml:space="preserve"> + Н2 , где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Н</w:t>
      </w:r>
      <w:proofErr w:type="gramStart"/>
      <w:r w:rsidRPr="00C53855">
        <w:rPr>
          <w:sz w:val="28"/>
          <w:szCs w:val="28"/>
        </w:rPr>
        <w:t>1</w:t>
      </w:r>
      <w:proofErr w:type="gramEnd"/>
      <w:r w:rsidRPr="00C53855">
        <w:rPr>
          <w:sz w:val="28"/>
          <w:szCs w:val="28"/>
        </w:rPr>
        <w:t xml:space="preserve"> — налог от кадастровой стоимости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Н</w:t>
      </w:r>
      <w:proofErr w:type="gramStart"/>
      <w:r w:rsidRPr="00C53855">
        <w:rPr>
          <w:sz w:val="28"/>
          <w:szCs w:val="28"/>
        </w:rPr>
        <w:t>2</w:t>
      </w:r>
      <w:proofErr w:type="gramEnd"/>
      <w:r w:rsidRPr="00C53855">
        <w:rPr>
          <w:sz w:val="28"/>
          <w:szCs w:val="28"/>
        </w:rPr>
        <w:t xml:space="preserve"> — налог от инвентаризационной стоимости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gramStart"/>
      <w:r w:rsidRPr="00C53855">
        <w:rPr>
          <w:sz w:val="28"/>
          <w:szCs w:val="28"/>
        </w:rPr>
        <w:t>К</w:t>
      </w:r>
      <w:proofErr w:type="gramEnd"/>
      <w:r w:rsidRPr="00C53855">
        <w:rPr>
          <w:sz w:val="28"/>
          <w:szCs w:val="28"/>
        </w:rPr>
        <w:t xml:space="preserve"> — коэффициент, равный: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0,2 — в 2019 году (налог за 2018)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0,4 — в 2020 год</w:t>
      </w:r>
      <w:proofErr w:type="gramStart"/>
      <w:r w:rsidRPr="00C53855">
        <w:rPr>
          <w:sz w:val="28"/>
          <w:szCs w:val="28"/>
        </w:rPr>
        <w:t>у(</w:t>
      </w:r>
      <w:proofErr w:type="gramEnd"/>
      <w:r w:rsidRPr="00C53855">
        <w:rPr>
          <w:sz w:val="28"/>
          <w:szCs w:val="28"/>
        </w:rPr>
        <w:t>налог за 2019)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53855">
        <w:rPr>
          <w:sz w:val="28"/>
          <w:szCs w:val="28"/>
        </w:rPr>
        <w:t>0,6 — в 2021 год</w:t>
      </w:r>
      <w:proofErr w:type="gramStart"/>
      <w:r w:rsidRPr="00C53855">
        <w:rPr>
          <w:sz w:val="28"/>
          <w:szCs w:val="28"/>
        </w:rPr>
        <w:t>у(</w:t>
      </w:r>
      <w:proofErr w:type="gramEnd"/>
      <w:r w:rsidRPr="00C53855">
        <w:rPr>
          <w:sz w:val="28"/>
          <w:szCs w:val="28"/>
        </w:rPr>
        <w:t>налог за 2020)</w:t>
      </w:r>
    </w:p>
    <w:p w:rsidR="00ED058A" w:rsidRPr="00C53855" w:rsidRDefault="00ED058A" w:rsidP="00E0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Важно! </w:t>
      </w:r>
      <w:r w:rsidR="00E01596">
        <w:rPr>
          <w:sz w:val="28"/>
          <w:szCs w:val="28"/>
        </w:rPr>
        <w:t xml:space="preserve">В соответствии с п. 8.1 ст. 408 НК РФ  начиная с третьего налогового периода, в котором налоговая база определяется как кадастровая стоимость (в крае – начиная с налогового периода </w:t>
      </w:r>
      <w:r w:rsidRPr="00C53855">
        <w:rPr>
          <w:sz w:val="28"/>
          <w:szCs w:val="28"/>
        </w:rPr>
        <w:t>2020 год</w:t>
      </w:r>
      <w:r w:rsidR="00E01596">
        <w:rPr>
          <w:sz w:val="28"/>
          <w:szCs w:val="28"/>
        </w:rPr>
        <w:t>)</w:t>
      </w:r>
      <w:r w:rsidRPr="00C53855">
        <w:rPr>
          <w:sz w:val="28"/>
          <w:szCs w:val="28"/>
        </w:rPr>
        <w:t xml:space="preserve"> не может быть выше налога за </w:t>
      </w:r>
      <w:r w:rsidR="00E01596">
        <w:rPr>
          <w:sz w:val="28"/>
          <w:szCs w:val="28"/>
        </w:rPr>
        <w:t xml:space="preserve"> предыдущий налоговый период </w:t>
      </w:r>
      <w:r w:rsidRPr="00C53855">
        <w:rPr>
          <w:sz w:val="28"/>
          <w:szCs w:val="28"/>
        </w:rPr>
        <w:t>более чем на 10 процентов. Все последующие годы размер налога может расти только на 10 процентов ежегодно до достижения полной суммы налога.</w:t>
      </w:r>
    </w:p>
    <w:p w:rsidR="00ED058A" w:rsidRPr="00C53855" w:rsidRDefault="00ED058A" w:rsidP="00C53855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В случае, если суммы налога </w:t>
      </w:r>
      <w:r w:rsidR="00C935B2">
        <w:rPr>
          <w:sz w:val="28"/>
          <w:szCs w:val="28"/>
        </w:rPr>
        <w:t>исходя из инвентаризационной</w:t>
      </w:r>
      <w:r w:rsidRPr="00C53855">
        <w:rPr>
          <w:sz w:val="28"/>
          <w:szCs w:val="28"/>
        </w:rPr>
        <w:t xml:space="preserve"> превышает сумм</w:t>
      </w:r>
      <w:r w:rsidR="006A56F5">
        <w:rPr>
          <w:sz w:val="28"/>
          <w:szCs w:val="28"/>
        </w:rPr>
        <w:t>у</w:t>
      </w:r>
      <w:r w:rsidRPr="00C53855">
        <w:rPr>
          <w:sz w:val="28"/>
          <w:szCs w:val="28"/>
        </w:rPr>
        <w:t xml:space="preserve"> налога </w:t>
      </w:r>
      <w:r w:rsidR="00C935B2">
        <w:rPr>
          <w:sz w:val="28"/>
          <w:szCs w:val="28"/>
        </w:rPr>
        <w:t>исходя из кадастровой</w:t>
      </w:r>
      <w:r w:rsidRPr="00C53855">
        <w:rPr>
          <w:sz w:val="28"/>
          <w:szCs w:val="28"/>
        </w:rPr>
        <w:t xml:space="preserve">, сумма налога, подлежащая уплате налогоплательщиком, исчисляется без учета положений </w:t>
      </w:r>
      <w:r w:rsidR="00C935B2">
        <w:rPr>
          <w:sz w:val="28"/>
          <w:szCs w:val="28"/>
        </w:rPr>
        <w:t>понижающих коэффициентов</w:t>
      </w:r>
      <w:proofErr w:type="gramStart"/>
      <w:r w:rsidR="00C935B2">
        <w:rPr>
          <w:sz w:val="28"/>
          <w:szCs w:val="28"/>
        </w:rPr>
        <w:t xml:space="preserve"> </w:t>
      </w:r>
      <w:r w:rsidRPr="00C53855">
        <w:rPr>
          <w:sz w:val="28"/>
          <w:szCs w:val="28"/>
        </w:rPr>
        <w:t>.</w:t>
      </w:r>
      <w:proofErr w:type="gramEnd"/>
    </w:p>
    <w:p w:rsidR="00AB2BEF" w:rsidRPr="00C53855" w:rsidRDefault="00D71F59" w:rsidP="001E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3D9">
        <w:rPr>
          <w:sz w:val="28"/>
          <w:szCs w:val="28"/>
        </w:rPr>
        <w:t xml:space="preserve">Формула переходного периода не применяется </w:t>
      </w:r>
      <w:r w:rsidR="00C935B2">
        <w:rPr>
          <w:sz w:val="28"/>
          <w:szCs w:val="28"/>
        </w:rPr>
        <w:t xml:space="preserve">также </w:t>
      </w:r>
      <w:r w:rsidRPr="001E53D9">
        <w:rPr>
          <w:sz w:val="28"/>
          <w:szCs w:val="28"/>
        </w:rPr>
        <w:t>при</w:t>
      </w:r>
      <w:r w:rsidRPr="00C53855">
        <w:rPr>
          <w:sz w:val="28"/>
          <w:szCs w:val="28"/>
        </w:rPr>
        <w:t xml:space="preserve"> исчислении налога на имущество ФЛ за объекты, включенные в Перечень торгово-офисной недвижимости, определяемой в соответствии со ст. 378.2 НК РФ</w:t>
      </w:r>
      <w:r w:rsidR="00C53855">
        <w:rPr>
          <w:sz w:val="28"/>
          <w:szCs w:val="28"/>
        </w:rPr>
        <w:t>:</w:t>
      </w:r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административно-деловые центры и торговые центры (комплексы) и помещения в них;</w:t>
      </w:r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3855">
        <w:rPr>
          <w:sz w:val="28"/>
          <w:szCs w:val="28"/>
        </w:rPr>
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</w:t>
      </w:r>
      <w:r w:rsidRPr="00C53855">
        <w:rPr>
          <w:sz w:val="28"/>
          <w:szCs w:val="28"/>
        </w:rPr>
        <w:lastRenderedPageBreak/>
        <w:t>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</w:r>
      <w:proofErr w:type="gramEnd"/>
    </w:p>
    <w:p w:rsidR="00ED058A" w:rsidRPr="00C53855" w:rsidRDefault="00ED058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B2BEF" w:rsidRPr="00C53855" w:rsidRDefault="00AB2BEF" w:rsidP="00C53855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В перечень 2018 года </w:t>
      </w:r>
      <w:r w:rsidR="00C935B2">
        <w:rPr>
          <w:sz w:val="28"/>
          <w:szCs w:val="28"/>
        </w:rPr>
        <w:t>включено</w:t>
      </w:r>
      <w:r w:rsidRPr="00C53855">
        <w:rPr>
          <w:sz w:val="28"/>
          <w:szCs w:val="28"/>
        </w:rPr>
        <w:t xml:space="preserve"> 6438 объектов капитального строительства: торговые и офисные объекты, объекты общественного питания и (или) бытового обслуживания свыше 1000 кв. метров в городских округах и свыше 300 кв. метров в муниципальных районах</w:t>
      </w:r>
      <w:r w:rsidR="00ED058A" w:rsidRPr="00C53855">
        <w:rPr>
          <w:sz w:val="28"/>
          <w:szCs w:val="28"/>
        </w:rPr>
        <w:t xml:space="preserve"> (Постановление 944-п от 25.11.2017)</w:t>
      </w:r>
      <w:r w:rsidRPr="00C53855">
        <w:rPr>
          <w:sz w:val="28"/>
          <w:szCs w:val="28"/>
        </w:rPr>
        <w:t>.</w:t>
      </w:r>
    </w:p>
    <w:p w:rsidR="00AB2BEF" w:rsidRDefault="00AB2BEF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 xml:space="preserve">На 2019 год принят новый перечень, который расширен на 330 объектов капитального строительства (Постановление 756-п от 29.11.2018). </w:t>
      </w:r>
    </w:p>
    <w:p w:rsidR="006A56F5" w:rsidRDefault="006A56F5" w:rsidP="006A56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2020 год перечень утвержден уже в количестве 9 610 объектов за счет снижения размера </w:t>
      </w:r>
      <w:r>
        <w:rPr>
          <w:sz w:val="28"/>
          <w:szCs w:val="28"/>
        </w:rPr>
        <w:t>площади объектов, подлежащих включению в перечень -   свыше 300 кв. метров и помещений в них во всех МО независимо от статуса (городские, муниципальные).</w:t>
      </w:r>
    </w:p>
    <w:p w:rsidR="00D71F59" w:rsidRPr="00C53855" w:rsidRDefault="00D71F59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>На собственников объектов из перечня не распространяется право освобождения от уплаты налога</w:t>
      </w:r>
      <w:r w:rsidR="00ED058A" w:rsidRPr="00C53855">
        <w:rPr>
          <w:sz w:val="28"/>
          <w:szCs w:val="28"/>
          <w:shd w:val="clear" w:color="auto" w:fill="FFFFFF"/>
        </w:rPr>
        <w:t>, ранее применяемое в соответствии с</w:t>
      </w:r>
      <w:r w:rsidR="00C935B2">
        <w:rPr>
          <w:sz w:val="28"/>
          <w:szCs w:val="28"/>
          <w:shd w:val="clear" w:color="auto" w:fill="FFFFFF"/>
        </w:rPr>
        <w:t>о статьей 407 НК РФ.</w:t>
      </w:r>
      <w:r w:rsidR="00ED058A" w:rsidRPr="00C53855">
        <w:rPr>
          <w:sz w:val="28"/>
          <w:szCs w:val="28"/>
          <w:shd w:val="clear" w:color="auto" w:fill="FFFFFF"/>
        </w:rPr>
        <w:t xml:space="preserve"> </w:t>
      </w:r>
    </w:p>
    <w:p w:rsidR="008C23F4" w:rsidRPr="00C53855" w:rsidRDefault="008C23F4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По физическим лицам, являющимся индивидуальными предпринимателями и использующих принадлежащее им имущество в предпринимательской деятельности и применяющих специальные налоговые режимы, отменено освобождение от обязанности по уплате налога на имущество физических лиц в отношении объектов, включенных в Перечень административно-делового, торгового и бытового назначения.</w:t>
      </w:r>
    </w:p>
    <w:p w:rsidR="008C23F4" w:rsidRPr="00C53855" w:rsidRDefault="004B1AA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proofErr w:type="gramStart"/>
      <w:r>
        <w:rPr>
          <w:sz w:val="28"/>
          <w:szCs w:val="28"/>
        </w:rPr>
        <w:t>выпадающих</w:t>
      </w:r>
      <w:proofErr w:type="gramEnd"/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204"/>
        <w:gridCol w:w="1186"/>
        <w:gridCol w:w="1762"/>
      </w:tblGrid>
      <w:tr w:rsidR="00C53855" w:rsidRPr="00C53855" w:rsidTr="008C23F4">
        <w:trPr>
          <w:trHeight w:val="574"/>
        </w:trPr>
        <w:tc>
          <w:tcPr>
            <w:tcW w:w="2872" w:type="pct"/>
            <w:shd w:val="clear" w:color="auto" w:fill="auto"/>
            <w:vAlign w:val="center"/>
          </w:tcPr>
          <w:p w:rsidR="008C23F4" w:rsidRPr="00C53855" w:rsidRDefault="008C23F4" w:rsidP="00C53855">
            <w:pPr>
              <w:ind w:firstLine="709"/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Показатели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 xml:space="preserve">5900_Темп роста (снижения), </w:t>
            </w:r>
            <w:proofErr w:type="gramStart"/>
            <w:r w:rsidRPr="00C53855">
              <w:rPr>
                <w:bCs/>
                <w:sz w:val="16"/>
                <w:szCs w:val="16"/>
              </w:rPr>
              <w:t>в</w:t>
            </w:r>
            <w:proofErr w:type="gramEnd"/>
            <w:r w:rsidRPr="00C53855">
              <w:rPr>
                <w:bCs/>
                <w:sz w:val="16"/>
                <w:szCs w:val="16"/>
              </w:rPr>
              <w:t xml:space="preserve"> %</w:t>
            </w:r>
          </w:p>
        </w:tc>
      </w:tr>
      <w:tr w:rsidR="00C53855" w:rsidRPr="00C53855" w:rsidTr="008C23F4">
        <w:trPr>
          <w:trHeight w:val="574"/>
        </w:trPr>
        <w:tc>
          <w:tcPr>
            <w:tcW w:w="2872" w:type="pct"/>
            <w:shd w:val="clear" w:color="auto" w:fill="auto"/>
            <w:vAlign w:val="center"/>
          </w:tcPr>
          <w:p w:rsidR="008C23F4" w:rsidRPr="00C53855" w:rsidRDefault="008C23F4" w:rsidP="00C53855">
            <w:pPr>
              <w:ind w:firstLine="709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 xml:space="preserve">Количество налогоплательщиков, которым не исчислен налог к уплате в связи с применением налогоплательщиком специальных налоговых режимов, 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1 850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1 761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-5</w:t>
            </w:r>
          </w:p>
        </w:tc>
      </w:tr>
      <w:tr w:rsidR="00C53855" w:rsidRPr="00C53855" w:rsidTr="008C23F4">
        <w:trPr>
          <w:trHeight w:val="574"/>
        </w:trPr>
        <w:tc>
          <w:tcPr>
            <w:tcW w:w="2872" w:type="pct"/>
            <w:shd w:val="clear" w:color="auto" w:fill="auto"/>
            <w:vAlign w:val="center"/>
          </w:tcPr>
          <w:p w:rsidR="008C23F4" w:rsidRPr="00C53855" w:rsidRDefault="008C23F4" w:rsidP="00C53855">
            <w:pPr>
              <w:ind w:firstLine="709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Сумма налога, не поступившая в бюджет в связи с применением налогоплательщиками специальных налоговых режимов (тыс. руб.)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209 043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40 351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C23F4" w:rsidRPr="00C53855" w:rsidRDefault="008C23F4" w:rsidP="00C53855">
            <w:pPr>
              <w:jc w:val="center"/>
              <w:rPr>
                <w:bCs/>
                <w:sz w:val="16"/>
                <w:szCs w:val="16"/>
              </w:rPr>
            </w:pPr>
            <w:r w:rsidRPr="00C53855">
              <w:rPr>
                <w:bCs/>
                <w:sz w:val="16"/>
                <w:szCs w:val="16"/>
              </w:rPr>
              <w:t>-81</w:t>
            </w:r>
          </w:p>
        </w:tc>
      </w:tr>
    </w:tbl>
    <w:p w:rsidR="00C53855" w:rsidRPr="00C53855" w:rsidRDefault="008C23F4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 xml:space="preserve">Кроме того, в отношении объектов из Перечня установлены повышенные ставки – не более 2%, </w:t>
      </w:r>
    </w:p>
    <w:p w:rsidR="008C23F4" w:rsidRDefault="008C23F4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>в муниципальных образованиях Пермского края они синхронизированы со ставкой налога на имущество организаций в отношении объектов, облагаемых исходя из кадастровой стоимости – 1,5% на 2018 год, 1,6% на 2019 год.</w:t>
      </w:r>
    </w:p>
    <w:p w:rsidR="00671B14" w:rsidRDefault="00671B14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1AAA" w:rsidRPr="00C53855" w:rsidRDefault="004B1AAA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AAA">
        <w:rPr>
          <w:noProof/>
          <w:sz w:val="28"/>
          <w:szCs w:val="28"/>
        </w:rPr>
        <w:drawing>
          <wp:inline distT="0" distB="0" distL="0" distR="0" wp14:anchorId="68163FB8" wp14:editId="222043FF">
            <wp:extent cx="1023257" cy="724123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3867" cy="7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855" w:rsidRPr="006A56F5" w:rsidRDefault="00C53855" w:rsidP="00C53855">
      <w:pPr>
        <w:ind w:firstLine="709"/>
        <w:jc w:val="both"/>
        <w:rPr>
          <w:strike/>
          <w:sz w:val="26"/>
          <w:szCs w:val="26"/>
        </w:rPr>
      </w:pPr>
      <w:r w:rsidRPr="006A56F5">
        <w:rPr>
          <w:strike/>
          <w:sz w:val="26"/>
          <w:szCs w:val="26"/>
        </w:rPr>
        <w:t xml:space="preserve">Физическим лицам (7 464 чел.) по 5 325 объектам из Перечня налог за 2018 год начислен в сумме 415 423 тыс. руб. или </w:t>
      </w:r>
      <w:r w:rsidR="006A56F5" w:rsidRPr="006A56F5">
        <w:rPr>
          <w:strike/>
          <w:sz w:val="26"/>
          <w:szCs w:val="26"/>
        </w:rPr>
        <w:t>40</w:t>
      </w:r>
      <w:r w:rsidRPr="006A56F5">
        <w:rPr>
          <w:strike/>
          <w:sz w:val="26"/>
          <w:szCs w:val="26"/>
        </w:rPr>
        <w:t xml:space="preserve">% от общей суммы налога по краю. </w:t>
      </w:r>
    </w:p>
    <w:p w:rsidR="00C53855" w:rsidRPr="006A56F5" w:rsidRDefault="00C53855" w:rsidP="00C53855">
      <w:pPr>
        <w:ind w:firstLine="709"/>
        <w:jc w:val="both"/>
        <w:rPr>
          <w:strike/>
          <w:sz w:val="26"/>
          <w:szCs w:val="26"/>
        </w:rPr>
      </w:pPr>
      <w:r w:rsidRPr="006A56F5">
        <w:rPr>
          <w:strike/>
          <w:sz w:val="26"/>
          <w:szCs w:val="26"/>
        </w:rPr>
        <w:t>По этим же объектам за 2017 год сумма налога к уплате составляла 27 760 тыс. руб. (в 15 раз ниже). Отдельные плательщики пользовались освобождением от уплаты налога на сумму 57 467 тыс. рублей (</w:t>
      </w:r>
      <w:proofErr w:type="spellStart"/>
      <w:r w:rsidRPr="006A56F5">
        <w:rPr>
          <w:strike/>
          <w:sz w:val="26"/>
          <w:szCs w:val="26"/>
        </w:rPr>
        <w:t>спецрежимники</w:t>
      </w:r>
      <w:proofErr w:type="spellEnd"/>
      <w:r w:rsidRPr="006A56F5">
        <w:rPr>
          <w:strike/>
          <w:sz w:val="26"/>
          <w:szCs w:val="26"/>
        </w:rPr>
        <w:t xml:space="preserve">). Из 5 325 объектов из Перечня по 603 объектам налог ранее не предъявлялся по причине отсутствия налоговой базы </w:t>
      </w:r>
      <w:r w:rsidRPr="006A56F5">
        <w:rPr>
          <w:strike/>
          <w:sz w:val="26"/>
          <w:szCs w:val="26"/>
        </w:rPr>
        <w:lastRenderedPageBreak/>
        <w:t>(инвентаризационной стоимости), 310 объектов находятся в собственности физических лиц с 2018 года (налог ранее им не предъявлялся, налогоплательщиками являлись юридические лица).</w:t>
      </w:r>
    </w:p>
    <w:p w:rsidR="00671B14" w:rsidRDefault="00D71F59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>При анализе удельного веса</w:t>
      </w:r>
      <w:r w:rsidR="00852447" w:rsidRPr="004B1AAA">
        <w:rPr>
          <w:sz w:val="26"/>
          <w:szCs w:val="26"/>
        </w:rPr>
        <w:t xml:space="preserve"> сумм налога по видам объектов налогообложения установлено, </w:t>
      </w:r>
      <w:r w:rsidR="00671B14" w:rsidRPr="004B1AAA">
        <w:rPr>
          <w:sz w:val="26"/>
          <w:szCs w:val="26"/>
        </w:rPr>
        <w:t>По жилым домам сумма налога в общей сумме  составляет 6% (за 2017 – 18%), по квартирам (комнатам) – 36% (за 2017 – 49%). Аналогичное снижение налога по жилью в первые годы перехода к кадастру отмечается во всех субъектах РФ</w:t>
      </w:r>
      <w:r w:rsidR="00671B14">
        <w:rPr>
          <w:sz w:val="26"/>
          <w:szCs w:val="26"/>
        </w:rPr>
        <w:t>.</w:t>
      </w:r>
    </w:p>
    <w:p w:rsidR="00D71F59" w:rsidRDefault="00852447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40% исчисленной суммы (400 млн. из 1,1 млрд.) исчислено по </w:t>
      </w:r>
      <w:proofErr w:type="gramStart"/>
      <w:r w:rsidRPr="004B1AAA">
        <w:rPr>
          <w:sz w:val="26"/>
          <w:szCs w:val="26"/>
        </w:rPr>
        <w:t>объектам</w:t>
      </w:r>
      <w:proofErr w:type="gramEnd"/>
      <w:r w:rsidRPr="004B1AAA">
        <w:rPr>
          <w:sz w:val="26"/>
          <w:szCs w:val="26"/>
        </w:rPr>
        <w:t xml:space="preserve"> </w:t>
      </w:r>
      <w:r w:rsidR="00671B14">
        <w:rPr>
          <w:sz w:val="26"/>
          <w:szCs w:val="26"/>
        </w:rPr>
        <w:t>включенным в Перечень торгово-офисной недвижимости</w:t>
      </w:r>
      <w:r w:rsidRPr="004B1AAA">
        <w:rPr>
          <w:sz w:val="26"/>
          <w:szCs w:val="26"/>
        </w:rPr>
        <w:t>.</w:t>
      </w:r>
    </w:p>
    <w:p w:rsidR="00671B14" w:rsidRDefault="00671B14" w:rsidP="00671B14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этих 400 млн. руб. налога - 25</w:t>
      </w:r>
      <w:r w:rsidR="00FC0627">
        <w:rPr>
          <w:sz w:val="26"/>
          <w:szCs w:val="26"/>
        </w:rPr>
        <w:t>3</w:t>
      </w:r>
      <w:r>
        <w:rPr>
          <w:sz w:val="26"/>
          <w:szCs w:val="26"/>
        </w:rPr>
        <w:t xml:space="preserve"> млн. или 60% - по объектам, расположенным в городе Перми. </w:t>
      </w:r>
    </w:p>
    <w:p w:rsidR="00671B14" w:rsidRDefault="00671B14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смотря на достаточно высокую налоговую нагрузку по объектам коммерческой недвижимости</w:t>
      </w:r>
      <w:r w:rsidR="00FC062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C0627">
        <w:rPr>
          <w:sz w:val="26"/>
          <w:szCs w:val="26"/>
        </w:rPr>
        <w:t xml:space="preserve">средняя сумма на 1 объект более 70 </w:t>
      </w:r>
      <w:proofErr w:type="spellStart"/>
      <w:r w:rsidR="00FC0627">
        <w:rPr>
          <w:sz w:val="26"/>
          <w:szCs w:val="26"/>
        </w:rPr>
        <w:t>т.р</w:t>
      </w:r>
      <w:proofErr w:type="spellEnd"/>
      <w:r w:rsidR="00FC0627">
        <w:rPr>
          <w:sz w:val="26"/>
          <w:szCs w:val="26"/>
        </w:rPr>
        <w:t>.) собираемость налога по данной категории налогоплательщиков выше – налог по объектам города Перми уплачен в сумме  213 млн. руб. что составляет 90% от исчисленной суммы.</w:t>
      </w:r>
    </w:p>
    <w:p w:rsidR="00FC0627" w:rsidRDefault="00FC0627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 отметить, что налогоплательщики активно пользуются правом </w:t>
      </w:r>
      <w:proofErr w:type="gramStart"/>
      <w:r>
        <w:rPr>
          <w:sz w:val="26"/>
          <w:szCs w:val="26"/>
        </w:rPr>
        <w:t>оспаривания</w:t>
      </w:r>
      <w:proofErr w:type="gramEnd"/>
      <w:r>
        <w:rPr>
          <w:sz w:val="26"/>
          <w:szCs w:val="26"/>
        </w:rPr>
        <w:t xml:space="preserve"> как размера кадастровой стоимости объектов, так и включения объектов в Перечень торгово-офисной недвижимости.</w:t>
      </w:r>
    </w:p>
    <w:p w:rsidR="00FC0627" w:rsidRDefault="00FC0627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по результатам оспаривания первоначально исчисленная сумма налога по таким объектам только по городу Перми  снижена на 14 млн. руб. и составила 239 млн.</w:t>
      </w:r>
      <w:r w:rsidR="000C5EA2">
        <w:rPr>
          <w:sz w:val="26"/>
          <w:szCs w:val="26"/>
        </w:rPr>
        <w:t xml:space="preserve"> руб.</w:t>
      </w:r>
    </w:p>
    <w:p w:rsidR="00FC0627" w:rsidRPr="004B1AAA" w:rsidRDefault="00FC0627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Исключение из Перечня 2018 года продолжается. В настоящее время уже </w:t>
      </w:r>
      <w:proofErr w:type="spellStart"/>
      <w:r>
        <w:rPr>
          <w:sz w:val="26"/>
          <w:szCs w:val="26"/>
        </w:rPr>
        <w:t>искл</w:t>
      </w:r>
      <w:proofErr w:type="spellEnd"/>
      <w:r>
        <w:rPr>
          <w:sz w:val="26"/>
          <w:szCs w:val="26"/>
        </w:rPr>
        <w:t xml:space="preserve"> 80 зданий.</w:t>
      </w:r>
    </w:p>
    <w:p w:rsidR="00852447" w:rsidRPr="004B1AAA" w:rsidRDefault="000C5EA2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23194">
        <w:rPr>
          <w:noProof/>
          <w:sz w:val="26"/>
          <w:szCs w:val="26"/>
        </w:rPr>
        <w:drawing>
          <wp:inline distT="0" distB="0" distL="0" distR="0" wp14:anchorId="5A42F1C3" wp14:editId="55419BC8">
            <wp:extent cx="1167893" cy="8264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8475" cy="82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66" w:rsidRPr="004B1AAA" w:rsidRDefault="00A92666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На снижение налога по жилью огромное влияние оказывает предоставление вычетов из налоговой базы (10,20,50 </w:t>
      </w:r>
      <w:proofErr w:type="spellStart"/>
      <w:r w:rsidRPr="004B1AAA">
        <w:rPr>
          <w:sz w:val="26"/>
          <w:szCs w:val="26"/>
        </w:rPr>
        <w:t>кв.м</w:t>
      </w:r>
      <w:proofErr w:type="spellEnd"/>
      <w:r w:rsidRPr="004B1AAA">
        <w:rPr>
          <w:sz w:val="26"/>
          <w:szCs w:val="26"/>
        </w:rPr>
        <w:t>.)</w:t>
      </w:r>
    </w:p>
    <w:p w:rsidR="00A92666" w:rsidRPr="004B1AAA" w:rsidRDefault="00A92666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Так количество объектов, выпадающих полностью из налогооблагаемой базы (площадь менее 10,20,50 </w:t>
      </w:r>
      <w:proofErr w:type="spellStart"/>
      <w:r w:rsidRPr="004B1AAA">
        <w:rPr>
          <w:sz w:val="26"/>
          <w:szCs w:val="26"/>
        </w:rPr>
        <w:t>кв.м</w:t>
      </w:r>
      <w:proofErr w:type="spellEnd"/>
      <w:r w:rsidRPr="004B1AAA">
        <w:rPr>
          <w:sz w:val="26"/>
          <w:szCs w:val="26"/>
        </w:rPr>
        <w:t>.) составило 227 тысяч, из них 94% (213 тыс.) – жилые дома</w:t>
      </w:r>
      <w:proofErr w:type="gramStart"/>
      <w:r w:rsidRPr="004B1AAA">
        <w:rPr>
          <w:sz w:val="26"/>
          <w:szCs w:val="26"/>
        </w:rPr>
        <w:t>.</w:t>
      </w:r>
      <w:proofErr w:type="gramEnd"/>
      <w:r w:rsidR="00E82E3A" w:rsidRPr="004B1AAA">
        <w:rPr>
          <w:sz w:val="26"/>
          <w:szCs w:val="26"/>
        </w:rPr>
        <w:t xml:space="preserve"> (</w:t>
      </w:r>
      <w:proofErr w:type="gramStart"/>
      <w:r w:rsidR="00E82E3A" w:rsidRPr="004B1AAA">
        <w:rPr>
          <w:sz w:val="26"/>
          <w:szCs w:val="26"/>
        </w:rPr>
        <w:t>п</w:t>
      </w:r>
      <w:proofErr w:type="gramEnd"/>
      <w:r w:rsidR="00E82E3A" w:rsidRPr="004B1AAA">
        <w:rPr>
          <w:sz w:val="26"/>
          <w:szCs w:val="26"/>
        </w:rPr>
        <w:t>ри расчете выпадающих доходов по ставке 0,1 % - налог 67 млн. руб.)</w:t>
      </w:r>
    </w:p>
    <w:p w:rsidR="008C23F4" w:rsidRPr="004B1AAA" w:rsidRDefault="00E82E3A" w:rsidP="00C53855">
      <w:pPr>
        <w:tabs>
          <w:tab w:val="left" w:pos="-4678"/>
        </w:tabs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Сумма налога, не поступившая в бюджет в связи с предоставлением вычетов 10, 20, 50 кв. м. (в том числе лицам, имеющим 3 и более детей), составила 659,5 млн. рублей (по средней ставке налога 0,15%) или 440 млн. руб. по ставке 0,1 %  </w:t>
      </w:r>
    </w:p>
    <w:p w:rsidR="004B1AAA" w:rsidRPr="004B1AAA" w:rsidRDefault="004B1AAA" w:rsidP="00C53855">
      <w:pPr>
        <w:tabs>
          <w:tab w:val="left" w:pos="-4678"/>
        </w:tabs>
        <w:ind w:firstLine="709"/>
        <w:jc w:val="both"/>
        <w:rPr>
          <w:sz w:val="26"/>
          <w:szCs w:val="26"/>
        </w:rPr>
      </w:pPr>
      <w:r w:rsidRPr="004B1AAA">
        <w:rPr>
          <w:noProof/>
          <w:sz w:val="26"/>
          <w:szCs w:val="26"/>
        </w:rPr>
        <w:drawing>
          <wp:inline distT="0" distB="0" distL="0" distR="0" wp14:anchorId="0EE90506" wp14:editId="1C726CD5">
            <wp:extent cx="1268186" cy="897451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8942" cy="89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AAA" w:rsidRPr="004B1AAA" w:rsidRDefault="004B1AAA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На следующем слайде представлены субъекты РФ, в которых 2019 год – впервые налог исчислен исходя </w:t>
      </w:r>
      <w:proofErr w:type="gramStart"/>
      <w:r w:rsidRPr="004B1AAA">
        <w:rPr>
          <w:sz w:val="26"/>
          <w:szCs w:val="26"/>
        </w:rPr>
        <w:t>из</w:t>
      </w:r>
      <w:proofErr w:type="gramEnd"/>
      <w:r w:rsidRPr="004B1AAA">
        <w:rPr>
          <w:sz w:val="26"/>
          <w:szCs w:val="26"/>
        </w:rPr>
        <w:t xml:space="preserve"> кадастровой стоим</w:t>
      </w:r>
    </w:p>
    <w:p w:rsidR="00D71F59" w:rsidRPr="004B1AAA" w:rsidRDefault="004B1AAA" w:rsidP="00C5385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1AAA">
        <w:rPr>
          <w:sz w:val="26"/>
          <w:szCs w:val="26"/>
        </w:rPr>
        <w:t xml:space="preserve">Объемы исчисленных сумм налога на имущество </w:t>
      </w:r>
      <w:r w:rsidR="00E82E3A" w:rsidRPr="004B1AAA">
        <w:rPr>
          <w:sz w:val="26"/>
          <w:szCs w:val="26"/>
        </w:rPr>
        <w:t xml:space="preserve">Средняя сумма налога на 1 налогоплательщика, на 1 объект, в том числе жилой дом и квартиру,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2035"/>
        <w:gridCol w:w="1560"/>
        <w:gridCol w:w="1701"/>
        <w:gridCol w:w="1791"/>
      </w:tblGrid>
      <w:tr w:rsidR="00C53855" w:rsidRPr="00C53855" w:rsidTr="00E82E3A">
        <w:trPr>
          <w:trHeight w:val="6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C53855" w:rsidRDefault="00E82E3A" w:rsidP="00C53855">
            <w:pPr>
              <w:jc w:val="center"/>
              <w:rPr>
                <w:sz w:val="20"/>
                <w:szCs w:val="20"/>
              </w:rPr>
            </w:pPr>
            <w:r w:rsidRPr="00C53855">
              <w:rPr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C53855" w:rsidRDefault="00E82E3A" w:rsidP="00C53855">
            <w:pPr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C53855">
              <w:rPr>
                <w:i/>
                <w:iCs/>
                <w:sz w:val="20"/>
                <w:szCs w:val="20"/>
              </w:rPr>
              <w:t xml:space="preserve">средний НАЛОГ              </w:t>
            </w:r>
            <w:r w:rsidRPr="00C53855">
              <w:rPr>
                <w:bCs/>
                <w:i/>
                <w:iCs/>
                <w:sz w:val="20"/>
                <w:szCs w:val="20"/>
              </w:rPr>
              <w:t xml:space="preserve">   на 1 налогоплательщика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C53855" w:rsidRDefault="00E82E3A" w:rsidP="00C53855">
            <w:pPr>
              <w:jc w:val="center"/>
              <w:rPr>
                <w:i/>
                <w:iCs/>
                <w:sz w:val="20"/>
                <w:szCs w:val="20"/>
              </w:rPr>
            </w:pPr>
            <w:r w:rsidRPr="00C53855">
              <w:rPr>
                <w:i/>
                <w:iCs/>
                <w:sz w:val="20"/>
                <w:szCs w:val="20"/>
              </w:rPr>
              <w:t xml:space="preserve">средний НАЛОГ                   </w:t>
            </w:r>
            <w:r w:rsidRPr="00C53855">
              <w:rPr>
                <w:bCs/>
                <w:i/>
                <w:iCs/>
                <w:sz w:val="20"/>
                <w:szCs w:val="20"/>
              </w:rPr>
              <w:t>на 1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C53855" w:rsidRDefault="00E82E3A" w:rsidP="00C53855">
            <w:pPr>
              <w:jc w:val="center"/>
              <w:rPr>
                <w:i/>
                <w:iCs/>
                <w:sz w:val="20"/>
                <w:szCs w:val="20"/>
              </w:rPr>
            </w:pPr>
            <w:r w:rsidRPr="00C53855">
              <w:rPr>
                <w:i/>
                <w:iCs/>
                <w:sz w:val="20"/>
                <w:szCs w:val="20"/>
              </w:rPr>
              <w:t xml:space="preserve">средний НАЛОГ                    </w:t>
            </w:r>
            <w:r w:rsidRPr="00C53855">
              <w:rPr>
                <w:bCs/>
                <w:i/>
                <w:iCs/>
                <w:sz w:val="20"/>
                <w:szCs w:val="20"/>
              </w:rPr>
              <w:t>на 1 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C53855" w:rsidRDefault="00E82E3A" w:rsidP="00C53855">
            <w:pPr>
              <w:jc w:val="center"/>
              <w:rPr>
                <w:i/>
                <w:iCs/>
                <w:sz w:val="20"/>
                <w:szCs w:val="20"/>
              </w:rPr>
            </w:pPr>
            <w:r w:rsidRPr="00C53855">
              <w:rPr>
                <w:i/>
                <w:iCs/>
                <w:sz w:val="20"/>
                <w:szCs w:val="20"/>
              </w:rPr>
              <w:t xml:space="preserve">средний НАЛОГ                  </w:t>
            </w:r>
            <w:r w:rsidRPr="00C53855">
              <w:rPr>
                <w:bCs/>
                <w:i/>
                <w:iCs/>
                <w:sz w:val="20"/>
                <w:szCs w:val="20"/>
              </w:rPr>
              <w:t>на 1 квартиру</w:t>
            </w:r>
          </w:p>
        </w:tc>
      </w:tr>
      <w:tr w:rsidR="00C53855" w:rsidRPr="004B1AAA" w:rsidTr="00E82E3A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E3A" w:rsidRPr="004B1AAA" w:rsidRDefault="00E82E3A" w:rsidP="00C53855">
            <w:pPr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Пермский край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E3A" w:rsidRPr="004B1AAA" w:rsidRDefault="00E82E3A" w:rsidP="00C53855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1.312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0.875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0.615</w:t>
            </w:r>
          </w:p>
        </w:tc>
      </w:tr>
      <w:tr w:rsidR="00C53855" w:rsidRPr="004B1AAA" w:rsidTr="00E82E3A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4B1AAA" w:rsidRDefault="00E82E3A" w:rsidP="00C53855">
            <w:pPr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Саратовская область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4B1AAA" w:rsidRDefault="00E82E3A" w:rsidP="00C53855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1.247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0.555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1.197</w:t>
            </w:r>
          </w:p>
        </w:tc>
      </w:tr>
      <w:tr w:rsidR="00C53855" w:rsidRPr="00C53855" w:rsidTr="00E82E3A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A" w:rsidRPr="004B1AAA" w:rsidRDefault="00E82E3A" w:rsidP="00C53855">
            <w:pPr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Ульяновск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A" w:rsidRPr="004B1AAA" w:rsidRDefault="00E82E3A" w:rsidP="00C53855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1.118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0.721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3A" w:rsidRPr="004B1AAA" w:rsidRDefault="00E82E3A" w:rsidP="00C53855">
            <w:pPr>
              <w:jc w:val="center"/>
              <w:rPr>
                <w:bCs/>
                <w:sz w:val="20"/>
                <w:szCs w:val="20"/>
              </w:rPr>
            </w:pPr>
            <w:r w:rsidRPr="004B1AAA">
              <w:rPr>
                <w:bCs/>
                <w:sz w:val="20"/>
                <w:szCs w:val="20"/>
              </w:rPr>
              <w:t>0.673</w:t>
            </w:r>
          </w:p>
        </w:tc>
      </w:tr>
    </w:tbl>
    <w:p w:rsidR="00C53855" w:rsidRDefault="00C53855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C25" w:rsidRDefault="006E4C25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3F2">
        <w:rPr>
          <w:noProof/>
          <w:sz w:val="28"/>
          <w:szCs w:val="28"/>
        </w:rPr>
        <w:drawing>
          <wp:inline distT="0" distB="0" distL="0" distR="0" wp14:anchorId="5D5514E0" wp14:editId="240EBB5B">
            <wp:extent cx="1072243" cy="758789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2882" cy="75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855" w:rsidRDefault="00C53855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ожидает налогоплательщиков в 2020 году.</w:t>
      </w:r>
    </w:p>
    <w:p w:rsidR="00543B61" w:rsidRPr="00C53855" w:rsidRDefault="00543B61" w:rsidP="00C53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С 01.01.2019 года на территории Пермского края утверждены новые результаты определения кадастровой стоимости объектов недвижимости. Налог на имущество физических лиц с применением вновь утвержденной стоимости будет исчислен в 2020 году</w:t>
      </w:r>
      <w:r w:rsidR="00523194">
        <w:rPr>
          <w:sz w:val="28"/>
          <w:szCs w:val="28"/>
        </w:rPr>
        <w:t xml:space="preserve"> за налоговый период 2019 года</w:t>
      </w:r>
      <w:r w:rsidRPr="00C53855">
        <w:rPr>
          <w:sz w:val="28"/>
          <w:szCs w:val="28"/>
        </w:rPr>
        <w:t>.</w:t>
      </w:r>
    </w:p>
    <w:p w:rsidR="00543B61" w:rsidRPr="00C53855" w:rsidRDefault="00543B61" w:rsidP="00C5385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53855">
        <w:rPr>
          <w:sz w:val="28"/>
          <w:szCs w:val="28"/>
          <w:shd w:val="clear" w:color="auto" w:fill="FFFFFF"/>
        </w:rPr>
        <w:t>Подробную информацию об изменении кадастровой стоимости можно получить в органах Росреестра и МФЦ. Ознакомиться с размером кадастровой стоимости конкретного объекта недвижимости можно в органах Росреестра по запросу, а также справочно на сайте Росреестра.</w:t>
      </w:r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25 октября 2018 года приказом Министерства по управлению имуществом утверждены результаты определения кадастровой стоимости объектов недвижимости (за исключением земельных участков) на территории Пермского края. Соответствующий приказ с результатами в разбивке по муниципальным образованиям размещен на сайте Министерства </w:t>
      </w:r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работы по государственной кадастровой оценке объектов капитального строительства впервые проводились в этом году на территории Пермского края Государственным бюджетным учреждением Пермского края «Центр технической инвентаризации и кадастровой оценки» (ГБУ «ЦТИ ПК»). Для этого краевой Росреестр направил  в ГБУ «ЦТИ ПК» сведения  из Единого государственного реестра недвижимости по состоянию на 1 января 2018 года по  2 143 265 объектам капитального строительства: зданиям, сооружениям, помещениям, объектам незавершенного строительства.</w:t>
      </w:r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В соответствии с Федеральным законом от 03.07.2016 № 237-ФЗ «О государственной кадастровой оценке» новые результаты определения кадастровой стоимости могут оспариваться в Комиссии, которую создаст уполномоченный орган субъекта Российской Федерации на территории Пермского края. Таким образом, одновременно в </w:t>
      </w:r>
      <w:proofErr w:type="spellStart"/>
      <w:r w:rsidRPr="00C53855">
        <w:rPr>
          <w:sz w:val="28"/>
          <w:szCs w:val="28"/>
        </w:rPr>
        <w:t>Прикамье</w:t>
      </w:r>
      <w:proofErr w:type="spellEnd"/>
      <w:r w:rsidRPr="00C53855">
        <w:rPr>
          <w:sz w:val="28"/>
          <w:szCs w:val="28"/>
        </w:rPr>
        <w:t xml:space="preserve"> будут действовать 2 Комиссии по оспариванию кадастровой стоимости. Одна из них продолжает работать при Управлении Росреестра по Пермскому краю.</w:t>
      </w:r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Согласно информации, размещенной на сайт</w:t>
      </w:r>
      <w:r w:rsidR="00523194">
        <w:rPr>
          <w:sz w:val="28"/>
          <w:szCs w:val="28"/>
        </w:rPr>
        <w:t>е</w:t>
      </w:r>
      <w:r w:rsidRPr="00C53855">
        <w:rPr>
          <w:sz w:val="28"/>
          <w:szCs w:val="28"/>
        </w:rPr>
        <w:t xml:space="preserve"> ГБУ «ЦТИ ПК» кадастровая стоимость объектов торговли стала выше на </w:t>
      </w:r>
      <w:r w:rsidRPr="00C53855">
        <w:rPr>
          <w:b/>
          <w:sz w:val="28"/>
          <w:szCs w:val="28"/>
        </w:rPr>
        <w:t>6,5%,</w:t>
      </w:r>
      <w:r w:rsidRPr="00C53855">
        <w:rPr>
          <w:sz w:val="28"/>
          <w:szCs w:val="28"/>
        </w:rPr>
        <w:t xml:space="preserve"> объектов офисного назначения — выросла на </w:t>
      </w:r>
      <w:r w:rsidRPr="00C53855">
        <w:rPr>
          <w:b/>
          <w:sz w:val="28"/>
          <w:szCs w:val="28"/>
        </w:rPr>
        <w:t>16%</w:t>
      </w:r>
      <w:r w:rsidRPr="00C53855">
        <w:rPr>
          <w:sz w:val="28"/>
          <w:szCs w:val="28"/>
        </w:rPr>
        <w:t xml:space="preserve"> по сравнению с 2012 годом. </w:t>
      </w:r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 xml:space="preserve">правообладатели могут внести корректировки в расчет кадастровой стоимости объектов торговой и офисной недвижимости. </w:t>
      </w:r>
      <w:proofErr w:type="gramStart"/>
      <w:r w:rsidRPr="00C53855">
        <w:rPr>
          <w:sz w:val="28"/>
          <w:szCs w:val="28"/>
        </w:rPr>
        <w:t>Для этого достаточно обратиться в ЦТИ ПК).</w:t>
      </w:r>
      <w:proofErr w:type="gramEnd"/>
    </w:p>
    <w:p w:rsidR="00543B61" w:rsidRPr="00C53855" w:rsidRDefault="00543B61" w:rsidP="00C53855">
      <w:pPr>
        <w:ind w:firstLine="709"/>
        <w:jc w:val="both"/>
        <w:rPr>
          <w:sz w:val="28"/>
          <w:szCs w:val="28"/>
        </w:rPr>
      </w:pPr>
      <w:r w:rsidRPr="00C53855">
        <w:rPr>
          <w:sz w:val="28"/>
          <w:szCs w:val="28"/>
        </w:rPr>
        <w:t>При обращении в ведомство возможны два варианта действий. Первый — получение разъяснений об определении кадастровой стоимости объекта. По итогам рассмотрения обращения может быть принято решение об исправлении выявленных некорректных сведений. При этом важно, что кадастровая стоимость может быть только понижена — повышения кадастровой стоимости произойти после уточнения информации не может.</w:t>
      </w:r>
      <w:bookmarkStart w:id="0" w:name="_GoBack"/>
      <w:bookmarkEnd w:id="0"/>
    </w:p>
    <w:sectPr w:rsidR="00543B61" w:rsidRPr="00C53855" w:rsidSect="002018D2">
      <w:headerReference w:type="even" r:id="rId23"/>
      <w:footerReference w:type="default" r:id="rId24"/>
      <w:headerReference w:type="first" r:id="rId25"/>
      <w:pgSz w:w="11906" w:h="16838"/>
      <w:pgMar w:top="552" w:right="707" w:bottom="851" w:left="1560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AA" w:rsidRDefault="002753AA">
      <w:r>
        <w:separator/>
      </w:r>
    </w:p>
  </w:endnote>
  <w:endnote w:type="continuationSeparator" w:id="0">
    <w:p w:rsidR="002753AA" w:rsidRDefault="002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379021"/>
      <w:docPartObj>
        <w:docPartGallery w:val="Page Numbers (Bottom of Page)"/>
        <w:docPartUnique/>
      </w:docPartObj>
    </w:sdtPr>
    <w:sdtEndPr/>
    <w:sdtContent>
      <w:p w:rsidR="001203EA" w:rsidRDefault="001203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77">
          <w:rPr>
            <w:noProof/>
          </w:rPr>
          <w:t>3</w:t>
        </w:r>
        <w:r>
          <w:fldChar w:fldCharType="end"/>
        </w:r>
      </w:p>
    </w:sdtContent>
  </w:sdt>
  <w:p w:rsidR="001203EA" w:rsidRDefault="001203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AA" w:rsidRDefault="002753AA">
      <w:r>
        <w:separator/>
      </w:r>
    </w:p>
  </w:footnote>
  <w:footnote w:type="continuationSeparator" w:id="0">
    <w:p w:rsidR="002753AA" w:rsidRDefault="0027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93" w:rsidRDefault="00AE099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0993" w:rsidRDefault="00AE09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6617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18D2" w:rsidRPr="002018D2" w:rsidRDefault="002018D2">
        <w:pPr>
          <w:pStyle w:val="ad"/>
          <w:jc w:val="center"/>
          <w:rPr>
            <w:sz w:val="20"/>
            <w:szCs w:val="20"/>
          </w:rPr>
        </w:pPr>
        <w:r w:rsidRPr="002018D2">
          <w:rPr>
            <w:sz w:val="20"/>
            <w:szCs w:val="20"/>
          </w:rPr>
          <w:fldChar w:fldCharType="begin"/>
        </w:r>
        <w:r w:rsidRPr="002018D2">
          <w:rPr>
            <w:sz w:val="20"/>
            <w:szCs w:val="20"/>
          </w:rPr>
          <w:instrText>PAGE   \* MERGEFORMAT</w:instrText>
        </w:r>
        <w:r w:rsidRPr="002018D2">
          <w:rPr>
            <w:sz w:val="20"/>
            <w:szCs w:val="20"/>
          </w:rPr>
          <w:fldChar w:fldCharType="separate"/>
        </w:r>
        <w:r w:rsidR="00436077">
          <w:rPr>
            <w:noProof/>
            <w:sz w:val="20"/>
            <w:szCs w:val="20"/>
          </w:rPr>
          <w:t>1</w:t>
        </w:r>
        <w:r w:rsidRPr="002018D2">
          <w:rPr>
            <w:sz w:val="20"/>
            <w:szCs w:val="20"/>
          </w:rPr>
          <w:fldChar w:fldCharType="end"/>
        </w:r>
      </w:p>
    </w:sdtContent>
  </w:sdt>
  <w:p w:rsidR="002018D2" w:rsidRDefault="002018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53EBB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3D23E2"/>
    <w:multiLevelType w:val="hybridMultilevel"/>
    <w:tmpl w:val="EF9016BA"/>
    <w:lvl w:ilvl="0" w:tplc="9014E760">
      <w:start w:val="1"/>
      <w:numFmt w:val="decimal"/>
      <w:lvlText w:val="%1."/>
      <w:lvlJc w:val="left"/>
      <w:pPr>
        <w:ind w:left="201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80D03AB"/>
    <w:multiLevelType w:val="hybridMultilevel"/>
    <w:tmpl w:val="AC023B72"/>
    <w:lvl w:ilvl="0" w:tplc="051C41EE">
      <w:start w:val="1"/>
      <w:numFmt w:val="upperRoman"/>
      <w:lvlText w:val="%1."/>
      <w:lvlJc w:val="left"/>
      <w:pPr>
        <w:tabs>
          <w:tab w:val="num" w:pos="2009"/>
        </w:tabs>
        <w:ind w:left="200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3">
    <w:nsid w:val="089A29D4"/>
    <w:multiLevelType w:val="hybridMultilevel"/>
    <w:tmpl w:val="0896BF7C"/>
    <w:lvl w:ilvl="0" w:tplc="0A8E3C98">
      <w:start w:val="1"/>
      <w:numFmt w:val="decimal"/>
      <w:lvlText w:val="%1."/>
      <w:lvlJc w:val="left"/>
      <w:pPr>
        <w:tabs>
          <w:tab w:val="num" w:pos="2565"/>
        </w:tabs>
        <w:ind w:left="2565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95119C7"/>
    <w:multiLevelType w:val="multilevel"/>
    <w:tmpl w:val="575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813D9"/>
    <w:multiLevelType w:val="hybridMultilevel"/>
    <w:tmpl w:val="995E18C8"/>
    <w:lvl w:ilvl="0" w:tplc="6C8C9B0C">
      <w:start w:val="1"/>
      <w:numFmt w:val="decimal"/>
      <w:lvlText w:val="%1."/>
      <w:lvlJc w:val="left"/>
      <w:pPr>
        <w:tabs>
          <w:tab w:val="num" w:pos="2017"/>
        </w:tabs>
        <w:ind w:left="201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A9776DF"/>
    <w:multiLevelType w:val="multilevel"/>
    <w:tmpl w:val="397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D7450"/>
    <w:multiLevelType w:val="multilevel"/>
    <w:tmpl w:val="F02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50D44"/>
    <w:multiLevelType w:val="hybridMultilevel"/>
    <w:tmpl w:val="1ACEA6A6"/>
    <w:lvl w:ilvl="0" w:tplc="BE38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A5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8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61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2D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C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8F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2C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8A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45A664D"/>
    <w:multiLevelType w:val="hybridMultilevel"/>
    <w:tmpl w:val="253EFF52"/>
    <w:lvl w:ilvl="0" w:tplc="9B06B690">
      <w:start w:val="2"/>
      <w:numFmt w:val="bullet"/>
      <w:lvlText w:val="-"/>
      <w:lvlJc w:val="left"/>
      <w:pPr>
        <w:tabs>
          <w:tab w:val="num" w:pos="1905"/>
        </w:tabs>
        <w:ind w:left="1905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0547208"/>
    <w:multiLevelType w:val="hybridMultilevel"/>
    <w:tmpl w:val="D6D685BE"/>
    <w:lvl w:ilvl="0" w:tplc="8C16D144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3652C"/>
    <w:multiLevelType w:val="hybridMultilevel"/>
    <w:tmpl w:val="0E5C4874"/>
    <w:lvl w:ilvl="0" w:tplc="97E002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E07E47"/>
    <w:multiLevelType w:val="hybridMultilevel"/>
    <w:tmpl w:val="5404A630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316ED126">
      <w:start w:val="1"/>
      <w:numFmt w:val="bullet"/>
      <w:lvlText w:val="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242"/>
        </w:tabs>
        <w:ind w:left="324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3">
    <w:nsid w:val="30CF273C"/>
    <w:multiLevelType w:val="multilevel"/>
    <w:tmpl w:val="DBA859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4B72AD"/>
    <w:multiLevelType w:val="hybridMultilevel"/>
    <w:tmpl w:val="D42E9DA8"/>
    <w:lvl w:ilvl="0" w:tplc="4D2873EC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68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E267F"/>
    <w:multiLevelType w:val="multilevel"/>
    <w:tmpl w:val="36B8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43FC6"/>
    <w:multiLevelType w:val="hybridMultilevel"/>
    <w:tmpl w:val="A0B25524"/>
    <w:lvl w:ilvl="0" w:tplc="DB16775E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F517C2"/>
    <w:multiLevelType w:val="hybridMultilevel"/>
    <w:tmpl w:val="97C01312"/>
    <w:lvl w:ilvl="0" w:tplc="BA7221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45297396"/>
    <w:multiLevelType w:val="multilevel"/>
    <w:tmpl w:val="217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72F4C"/>
    <w:multiLevelType w:val="multilevel"/>
    <w:tmpl w:val="8A2C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45029"/>
    <w:multiLevelType w:val="multilevel"/>
    <w:tmpl w:val="E74AAD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F6A53E8"/>
    <w:multiLevelType w:val="hybridMultilevel"/>
    <w:tmpl w:val="623C3484"/>
    <w:lvl w:ilvl="0" w:tplc="027C89B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7FDA6B00">
      <w:numFmt w:val="none"/>
      <w:lvlText w:val=""/>
      <w:lvlJc w:val="left"/>
      <w:pPr>
        <w:tabs>
          <w:tab w:val="num" w:pos="360"/>
        </w:tabs>
      </w:pPr>
    </w:lvl>
    <w:lvl w:ilvl="2" w:tplc="454CFEA6">
      <w:numFmt w:val="none"/>
      <w:lvlText w:val=""/>
      <w:lvlJc w:val="left"/>
      <w:pPr>
        <w:tabs>
          <w:tab w:val="num" w:pos="360"/>
        </w:tabs>
      </w:pPr>
    </w:lvl>
    <w:lvl w:ilvl="3" w:tplc="B7466626">
      <w:numFmt w:val="none"/>
      <w:lvlText w:val=""/>
      <w:lvlJc w:val="left"/>
      <w:pPr>
        <w:tabs>
          <w:tab w:val="num" w:pos="360"/>
        </w:tabs>
      </w:pPr>
    </w:lvl>
    <w:lvl w:ilvl="4" w:tplc="50D21AFC">
      <w:numFmt w:val="none"/>
      <w:lvlText w:val=""/>
      <w:lvlJc w:val="left"/>
      <w:pPr>
        <w:tabs>
          <w:tab w:val="num" w:pos="360"/>
        </w:tabs>
      </w:pPr>
    </w:lvl>
    <w:lvl w:ilvl="5" w:tplc="A4FAB9E0">
      <w:numFmt w:val="none"/>
      <w:lvlText w:val=""/>
      <w:lvlJc w:val="left"/>
      <w:pPr>
        <w:tabs>
          <w:tab w:val="num" w:pos="360"/>
        </w:tabs>
      </w:pPr>
    </w:lvl>
    <w:lvl w:ilvl="6" w:tplc="428A1230">
      <w:numFmt w:val="none"/>
      <w:lvlText w:val=""/>
      <w:lvlJc w:val="left"/>
      <w:pPr>
        <w:tabs>
          <w:tab w:val="num" w:pos="360"/>
        </w:tabs>
      </w:pPr>
    </w:lvl>
    <w:lvl w:ilvl="7" w:tplc="3238EDCA">
      <w:numFmt w:val="none"/>
      <w:lvlText w:val=""/>
      <w:lvlJc w:val="left"/>
      <w:pPr>
        <w:tabs>
          <w:tab w:val="num" w:pos="360"/>
        </w:tabs>
      </w:pPr>
    </w:lvl>
    <w:lvl w:ilvl="8" w:tplc="E474F9E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E973CB"/>
    <w:multiLevelType w:val="hybridMultilevel"/>
    <w:tmpl w:val="F1E20104"/>
    <w:lvl w:ilvl="0" w:tplc="7690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CE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6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4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C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A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2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9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7495B1B"/>
    <w:multiLevelType w:val="hybridMultilevel"/>
    <w:tmpl w:val="09A4198A"/>
    <w:lvl w:ilvl="0" w:tplc="79E02698">
      <w:start w:val="1"/>
      <w:numFmt w:val="decimal"/>
      <w:lvlText w:val="%1."/>
      <w:lvlJc w:val="left"/>
      <w:pPr>
        <w:tabs>
          <w:tab w:val="num" w:pos="1742"/>
        </w:tabs>
        <w:ind w:left="17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24">
    <w:nsid w:val="59833C52"/>
    <w:multiLevelType w:val="hybridMultilevel"/>
    <w:tmpl w:val="8DDA5EE8"/>
    <w:lvl w:ilvl="0" w:tplc="4BF2EFE4">
      <w:start w:val="1"/>
      <w:numFmt w:val="decimal"/>
      <w:lvlText w:val="4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9B2597"/>
    <w:multiLevelType w:val="hybridMultilevel"/>
    <w:tmpl w:val="12DE2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2C1EA2"/>
    <w:multiLevelType w:val="hybridMultilevel"/>
    <w:tmpl w:val="AB8A43A4"/>
    <w:lvl w:ilvl="0" w:tplc="8512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A45C27"/>
    <w:multiLevelType w:val="hybridMultilevel"/>
    <w:tmpl w:val="AAE82F6A"/>
    <w:lvl w:ilvl="0" w:tplc="B4F6E098">
      <w:start w:val="1"/>
      <w:numFmt w:val="decimal"/>
      <w:lvlText w:val="%1)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513BBC"/>
    <w:multiLevelType w:val="multilevel"/>
    <w:tmpl w:val="165885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0402612"/>
    <w:multiLevelType w:val="multilevel"/>
    <w:tmpl w:val="66066EB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0">
    <w:nsid w:val="7334647A"/>
    <w:multiLevelType w:val="hybridMultilevel"/>
    <w:tmpl w:val="48FAFB52"/>
    <w:lvl w:ilvl="0" w:tplc="4586A4D6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775965B7"/>
    <w:multiLevelType w:val="hybridMultilevel"/>
    <w:tmpl w:val="87E24DF0"/>
    <w:lvl w:ilvl="0" w:tplc="95D8120A">
      <w:start w:val="1"/>
      <w:numFmt w:val="decimal"/>
      <w:lvlText w:val="%1)"/>
      <w:lvlJc w:val="left"/>
      <w:pPr>
        <w:ind w:left="1749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993D92"/>
    <w:multiLevelType w:val="multilevel"/>
    <w:tmpl w:val="A666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30"/>
  </w:num>
  <w:num w:numId="4">
    <w:abstractNumId w:val="29"/>
  </w:num>
  <w:num w:numId="5">
    <w:abstractNumId w:val="20"/>
  </w:num>
  <w:num w:numId="6">
    <w:abstractNumId w:val="21"/>
  </w:num>
  <w:num w:numId="7">
    <w:abstractNumId w:val="0"/>
  </w:num>
  <w:num w:numId="8">
    <w:abstractNumId w:val="24"/>
  </w:num>
  <w:num w:numId="9">
    <w:abstractNumId w:val="16"/>
  </w:num>
  <w:num w:numId="10">
    <w:abstractNumId w:val="2"/>
  </w:num>
  <w:num w:numId="11">
    <w:abstractNumId w:val="23"/>
  </w:num>
  <w:num w:numId="12">
    <w:abstractNumId w:val="13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2"/>
  </w:num>
  <w:num w:numId="18">
    <w:abstractNumId w:val="5"/>
  </w:num>
  <w:num w:numId="19">
    <w:abstractNumId w:val="28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26"/>
  </w:num>
  <w:num w:numId="25">
    <w:abstractNumId w:val="22"/>
  </w:num>
  <w:num w:numId="26">
    <w:abstractNumId w:val="19"/>
  </w:num>
  <w:num w:numId="27">
    <w:abstractNumId w:val="4"/>
  </w:num>
  <w:num w:numId="28">
    <w:abstractNumId w:val="7"/>
  </w:num>
  <w:num w:numId="29">
    <w:abstractNumId w:val="32"/>
  </w:num>
  <w:num w:numId="30">
    <w:abstractNumId w:val="6"/>
  </w:num>
  <w:num w:numId="31">
    <w:abstractNumId w:val="15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25"/>
    <w:rsid w:val="00001076"/>
    <w:rsid w:val="000018E6"/>
    <w:rsid w:val="000113D7"/>
    <w:rsid w:val="000113F4"/>
    <w:rsid w:val="00013492"/>
    <w:rsid w:val="000138B5"/>
    <w:rsid w:val="0001655B"/>
    <w:rsid w:val="000166E1"/>
    <w:rsid w:val="00017D79"/>
    <w:rsid w:val="00020AB6"/>
    <w:rsid w:val="00026F50"/>
    <w:rsid w:val="0003027B"/>
    <w:rsid w:val="000325AD"/>
    <w:rsid w:val="0003396B"/>
    <w:rsid w:val="0003576E"/>
    <w:rsid w:val="000402E5"/>
    <w:rsid w:val="0004266C"/>
    <w:rsid w:val="0004438E"/>
    <w:rsid w:val="0005083C"/>
    <w:rsid w:val="000522AD"/>
    <w:rsid w:val="000524AC"/>
    <w:rsid w:val="00052F00"/>
    <w:rsid w:val="00056FD8"/>
    <w:rsid w:val="00060CDE"/>
    <w:rsid w:val="00063273"/>
    <w:rsid w:val="0006367C"/>
    <w:rsid w:val="000658E0"/>
    <w:rsid w:val="0006605C"/>
    <w:rsid w:val="00066447"/>
    <w:rsid w:val="00072247"/>
    <w:rsid w:val="00072FB5"/>
    <w:rsid w:val="000760F1"/>
    <w:rsid w:val="000779AA"/>
    <w:rsid w:val="0008001F"/>
    <w:rsid w:val="00080245"/>
    <w:rsid w:val="00082A70"/>
    <w:rsid w:val="00090393"/>
    <w:rsid w:val="00091AD6"/>
    <w:rsid w:val="00092C57"/>
    <w:rsid w:val="00096E0F"/>
    <w:rsid w:val="00097379"/>
    <w:rsid w:val="000A259D"/>
    <w:rsid w:val="000A30EC"/>
    <w:rsid w:val="000A448F"/>
    <w:rsid w:val="000A4DF3"/>
    <w:rsid w:val="000A63AE"/>
    <w:rsid w:val="000A670C"/>
    <w:rsid w:val="000B1D0F"/>
    <w:rsid w:val="000B1F89"/>
    <w:rsid w:val="000B244B"/>
    <w:rsid w:val="000B2FE5"/>
    <w:rsid w:val="000B4BF1"/>
    <w:rsid w:val="000B7950"/>
    <w:rsid w:val="000C1F96"/>
    <w:rsid w:val="000C2182"/>
    <w:rsid w:val="000C3052"/>
    <w:rsid w:val="000C4FFA"/>
    <w:rsid w:val="000C5EA2"/>
    <w:rsid w:val="000D3402"/>
    <w:rsid w:val="000D52B8"/>
    <w:rsid w:val="000D6447"/>
    <w:rsid w:val="000E3D68"/>
    <w:rsid w:val="000E4158"/>
    <w:rsid w:val="000F18E7"/>
    <w:rsid w:val="000F1EBB"/>
    <w:rsid w:val="000F23EB"/>
    <w:rsid w:val="000F32AD"/>
    <w:rsid w:val="000F34C8"/>
    <w:rsid w:val="000F4C6B"/>
    <w:rsid w:val="000F643A"/>
    <w:rsid w:val="00100CB3"/>
    <w:rsid w:val="00102B9A"/>
    <w:rsid w:val="001033AD"/>
    <w:rsid w:val="00110BBC"/>
    <w:rsid w:val="00113A26"/>
    <w:rsid w:val="00114220"/>
    <w:rsid w:val="00115BE8"/>
    <w:rsid w:val="001203EA"/>
    <w:rsid w:val="00123BFD"/>
    <w:rsid w:val="00124C20"/>
    <w:rsid w:val="00126E95"/>
    <w:rsid w:val="00130982"/>
    <w:rsid w:val="00130B96"/>
    <w:rsid w:val="00130DE5"/>
    <w:rsid w:val="00134E7D"/>
    <w:rsid w:val="00134F34"/>
    <w:rsid w:val="00137AD7"/>
    <w:rsid w:val="00142549"/>
    <w:rsid w:val="00143A84"/>
    <w:rsid w:val="0014409C"/>
    <w:rsid w:val="001531FB"/>
    <w:rsid w:val="001542C8"/>
    <w:rsid w:val="00155943"/>
    <w:rsid w:val="001579B5"/>
    <w:rsid w:val="001602D6"/>
    <w:rsid w:val="00160386"/>
    <w:rsid w:val="00165B5B"/>
    <w:rsid w:val="001712DD"/>
    <w:rsid w:val="00174F4F"/>
    <w:rsid w:val="00177A86"/>
    <w:rsid w:val="00186B36"/>
    <w:rsid w:val="0019469C"/>
    <w:rsid w:val="00195BBA"/>
    <w:rsid w:val="001964B9"/>
    <w:rsid w:val="00197A64"/>
    <w:rsid w:val="001A34FC"/>
    <w:rsid w:val="001A61FD"/>
    <w:rsid w:val="001A7DA0"/>
    <w:rsid w:val="001B0061"/>
    <w:rsid w:val="001B0136"/>
    <w:rsid w:val="001B2197"/>
    <w:rsid w:val="001B2FAB"/>
    <w:rsid w:val="001B74DB"/>
    <w:rsid w:val="001B75FE"/>
    <w:rsid w:val="001C0FE2"/>
    <w:rsid w:val="001C25DF"/>
    <w:rsid w:val="001C2D9D"/>
    <w:rsid w:val="001C58FA"/>
    <w:rsid w:val="001C7C48"/>
    <w:rsid w:val="001D0179"/>
    <w:rsid w:val="001D6009"/>
    <w:rsid w:val="001D62DA"/>
    <w:rsid w:val="001D6323"/>
    <w:rsid w:val="001E1519"/>
    <w:rsid w:val="001E3C28"/>
    <w:rsid w:val="001E3C82"/>
    <w:rsid w:val="001E4DF4"/>
    <w:rsid w:val="001E4FE2"/>
    <w:rsid w:val="001E53D9"/>
    <w:rsid w:val="001E6FC7"/>
    <w:rsid w:val="001E737B"/>
    <w:rsid w:val="001F12A7"/>
    <w:rsid w:val="001F2558"/>
    <w:rsid w:val="002001FE"/>
    <w:rsid w:val="002018D2"/>
    <w:rsid w:val="00206E8E"/>
    <w:rsid w:val="0020733B"/>
    <w:rsid w:val="0020750A"/>
    <w:rsid w:val="00211CF0"/>
    <w:rsid w:val="002139B0"/>
    <w:rsid w:val="00216F0B"/>
    <w:rsid w:val="00220080"/>
    <w:rsid w:val="00222933"/>
    <w:rsid w:val="00222B89"/>
    <w:rsid w:val="002234E7"/>
    <w:rsid w:val="00224109"/>
    <w:rsid w:val="00230B4C"/>
    <w:rsid w:val="0023129B"/>
    <w:rsid w:val="00231439"/>
    <w:rsid w:val="00232644"/>
    <w:rsid w:val="00232A21"/>
    <w:rsid w:val="00235864"/>
    <w:rsid w:val="00237715"/>
    <w:rsid w:val="002406A0"/>
    <w:rsid w:val="00241A0A"/>
    <w:rsid w:val="00245F07"/>
    <w:rsid w:val="00246E98"/>
    <w:rsid w:val="00247257"/>
    <w:rsid w:val="00253DFD"/>
    <w:rsid w:val="002572D4"/>
    <w:rsid w:val="00263757"/>
    <w:rsid w:val="0026401C"/>
    <w:rsid w:val="00265C5B"/>
    <w:rsid w:val="00267957"/>
    <w:rsid w:val="002702C2"/>
    <w:rsid w:val="00270D0A"/>
    <w:rsid w:val="00271CCE"/>
    <w:rsid w:val="00271DBD"/>
    <w:rsid w:val="00272E70"/>
    <w:rsid w:val="002753AA"/>
    <w:rsid w:val="00275539"/>
    <w:rsid w:val="00277FEE"/>
    <w:rsid w:val="0028220B"/>
    <w:rsid w:val="00282AF1"/>
    <w:rsid w:val="00292188"/>
    <w:rsid w:val="002935B5"/>
    <w:rsid w:val="00294433"/>
    <w:rsid w:val="00294A0B"/>
    <w:rsid w:val="00296D5D"/>
    <w:rsid w:val="002A4AED"/>
    <w:rsid w:val="002A6374"/>
    <w:rsid w:val="002B1AEB"/>
    <w:rsid w:val="002B3544"/>
    <w:rsid w:val="002B54BF"/>
    <w:rsid w:val="002B6DAF"/>
    <w:rsid w:val="002C029C"/>
    <w:rsid w:val="002C0E88"/>
    <w:rsid w:val="002C27F0"/>
    <w:rsid w:val="002C4EB7"/>
    <w:rsid w:val="002C5461"/>
    <w:rsid w:val="002C5C18"/>
    <w:rsid w:val="002C7E27"/>
    <w:rsid w:val="002D1441"/>
    <w:rsid w:val="002D5062"/>
    <w:rsid w:val="002D60A4"/>
    <w:rsid w:val="002E13F2"/>
    <w:rsid w:val="002E257F"/>
    <w:rsid w:val="002E2987"/>
    <w:rsid w:val="002E2D75"/>
    <w:rsid w:val="002E344A"/>
    <w:rsid w:val="002E3544"/>
    <w:rsid w:val="002E46CD"/>
    <w:rsid w:val="002E6ED8"/>
    <w:rsid w:val="002E7B83"/>
    <w:rsid w:val="002F195F"/>
    <w:rsid w:val="002F3B48"/>
    <w:rsid w:val="002F5ACB"/>
    <w:rsid w:val="002F66CF"/>
    <w:rsid w:val="002F73DE"/>
    <w:rsid w:val="003014EF"/>
    <w:rsid w:val="003020FC"/>
    <w:rsid w:val="00303530"/>
    <w:rsid w:val="00306E24"/>
    <w:rsid w:val="003072BD"/>
    <w:rsid w:val="0031084E"/>
    <w:rsid w:val="003130AA"/>
    <w:rsid w:val="00313E09"/>
    <w:rsid w:val="00316A7A"/>
    <w:rsid w:val="0032033E"/>
    <w:rsid w:val="003204B9"/>
    <w:rsid w:val="00321788"/>
    <w:rsid w:val="00323EE7"/>
    <w:rsid w:val="00324231"/>
    <w:rsid w:val="00325212"/>
    <w:rsid w:val="003271FB"/>
    <w:rsid w:val="0032724A"/>
    <w:rsid w:val="00330E33"/>
    <w:rsid w:val="00331E7B"/>
    <w:rsid w:val="00333A54"/>
    <w:rsid w:val="003358EF"/>
    <w:rsid w:val="00335929"/>
    <w:rsid w:val="00340D5C"/>
    <w:rsid w:val="00343947"/>
    <w:rsid w:val="0034401B"/>
    <w:rsid w:val="0034500B"/>
    <w:rsid w:val="00345DCC"/>
    <w:rsid w:val="003478E9"/>
    <w:rsid w:val="00347D42"/>
    <w:rsid w:val="00352319"/>
    <w:rsid w:val="003525D7"/>
    <w:rsid w:val="003554C4"/>
    <w:rsid w:val="003622A5"/>
    <w:rsid w:val="00362364"/>
    <w:rsid w:val="003643BC"/>
    <w:rsid w:val="003649DD"/>
    <w:rsid w:val="00365593"/>
    <w:rsid w:val="00382746"/>
    <w:rsid w:val="00385486"/>
    <w:rsid w:val="00390B07"/>
    <w:rsid w:val="003961D9"/>
    <w:rsid w:val="00396789"/>
    <w:rsid w:val="00397560"/>
    <w:rsid w:val="003A0D79"/>
    <w:rsid w:val="003A28A0"/>
    <w:rsid w:val="003A3F71"/>
    <w:rsid w:val="003A4301"/>
    <w:rsid w:val="003A45B0"/>
    <w:rsid w:val="003A577A"/>
    <w:rsid w:val="003A5B17"/>
    <w:rsid w:val="003A6319"/>
    <w:rsid w:val="003A790A"/>
    <w:rsid w:val="003B3A8A"/>
    <w:rsid w:val="003B3BDD"/>
    <w:rsid w:val="003B7288"/>
    <w:rsid w:val="003C3BB4"/>
    <w:rsid w:val="003C6939"/>
    <w:rsid w:val="003C74E5"/>
    <w:rsid w:val="003D05EF"/>
    <w:rsid w:val="003D22A8"/>
    <w:rsid w:val="003D33CB"/>
    <w:rsid w:val="003D3603"/>
    <w:rsid w:val="003D3B33"/>
    <w:rsid w:val="003D791F"/>
    <w:rsid w:val="003E0680"/>
    <w:rsid w:val="003E0D45"/>
    <w:rsid w:val="003E1196"/>
    <w:rsid w:val="003E24E8"/>
    <w:rsid w:val="003E31F3"/>
    <w:rsid w:val="003E4228"/>
    <w:rsid w:val="003E724E"/>
    <w:rsid w:val="003F5448"/>
    <w:rsid w:val="003F5699"/>
    <w:rsid w:val="003F7DB9"/>
    <w:rsid w:val="00401E08"/>
    <w:rsid w:val="004038A7"/>
    <w:rsid w:val="004045D6"/>
    <w:rsid w:val="00406A6D"/>
    <w:rsid w:val="00407F29"/>
    <w:rsid w:val="00410732"/>
    <w:rsid w:val="00411655"/>
    <w:rsid w:val="004137A9"/>
    <w:rsid w:val="00415DA6"/>
    <w:rsid w:val="00421401"/>
    <w:rsid w:val="0042172D"/>
    <w:rsid w:val="00422887"/>
    <w:rsid w:val="00422B13"/>
    <w:rsid w:val="00423511"/>
    <w:rsid w:val="004236AE"/>
    <w:rsid w:val="00426C9E"/>
    <w:rsid w:val="00430EBA"/>
    <w:rsid w:val="004341D3"/>
    <w:rsid w:val="00436077"/>
    <w:rsid w:val="0043722D"/>
    <w:rsid w:val="00437B10"/>
    <w:rsid w:val="0044072B"/>
    <w:rsid w:val="00441236"/>
    <w:rsid w:val="00441D17"/>
    <w:rsid w:val="00447223"/>
    <w:rsid w:val="004475C2"/>
    <w:rsid w:val="0045346B"/>
    <w:rsid w:val="00454678"/>
    <w:rsid w:val="004603FA"/>
    <w:rsid w:val="00463CF9"/>
    <w:rsid w:val="00464AAF"/>
    <w:rsid w:val="00465FA8"/>
    <w:rsid w:val="0047029A"/>
    <w:rsid w:val="00471B2C"/>
    <w:rsid w:val="00473BAD"/>
    <w:rsid w:val="00477904"/>
    <w:rsid w:val="00481464"/>
    <w:rsid w:val="0048321A"/>
    <w:rsid w:val="00483561"/>
    <w:rsid w:val="00484FC9"/>
    <w:rsid w:val="0048531A"/>
    <w:rsid w:val="00485407"/>
    <w:rsid w:val="00486D16"/>
    <w:rsid w:val="004900D0"/>
    <w:rsid w:val="004922E3"/>
    <w:rsid w:val="00496E23"/>
    <w:rsid w:val="004A0F89"/>
    <w:rsid w:val="004A6A86"/>
    <w:rsid w:val="004A723E"/>
    <w:rsid w:val="004A74B9"/>
    <w:rsid w:val="004A7B8D"/>
    <w:rsid w:val="004B00A2"/>
    <w:rsid w:val="004B0570"/>
    <w:rsid w:val="004B0CE3"/>
    <w:rsid w:val="004B1AAA"/>
    <w:rsid w:val="004B248A"/>
    <w:rsid w:val="004B25B8"/>
    <w:rsid w:val="004B28CD"/>
    <w:rsid w:val="004B29B8"/>
    <w:rsid w:val="004B5BAF"/>
    <w:rsid w:val="004B6393"/>
    <w:rsid w:val="004B668F"/>
    <w:rsid w:val="004C0572"/>
    <w:rsid w:val="004C1E1A"/>
    <w:rsid w:val="004C2B9D"/>
    <w:rsid w:val="004C38CF"/>
    <w:rsid w:val="004D2125"/>
    <w:rsid w:val="004D4419"/>
    <w:rsid w:val="004E05EA"/>
    <w:rsid w:val="004E520A"/>
    <w:rsid w:val="004E5606"/>
    <w:rsid w:val="004E6042"/>
    <w:rsid w:val="004E6383"/>
    <w:rsid w:val="004E79E6"/>
    <w:rsid w:val="004F390A"/>
    <w:rsid w:val="004F79D9"/>
    <w:rsid w:val="005015D6"/>
    <w:rsid w:val="00502D98"/>
    <w:rsid w:val="00502F1E"/>
    <w:rsid w:val="005030E2"/>
    <w:rsid w:val="0050319C"/>
    <w:rsid w:val="005032BB"/>
    <w:rsid w:val="00504CA8"/>
    <w:rsid w:val="005069C3"/>
    <w:rsid w:val="00506D9D"/>
    <w:rsid w:val="00512D32"/>
    <w:rsid w:val="005132CF"/>
    <w:rsid w:val="00515B13"/>
    <w:rsid w:val="0051720F"/>
    <w:rsid w:val="00522DE5"/>
    <w:rsid w:val="00523194"/>
    <w:rsid w:val="00530395"/>
    <w:rsid w:val="0053217A"/>
    <w:rsid w:val="005368EF"/>
    <w:rsid w:val="0053716C"/>
    <w:rsid w:val="0054229F"/>
    <w:rsid w:val="0054296A"/>
    <w:rsid w:val="00542C50"/>
    <w:rsid w:val="00543B61"/>
    <w:rsid w:val="00543D47"/>
    <w:rsid w:val="005441E4"/>
    <w:rsid w:val="00551286"/>
    <w:rsid w:val="0055290D"/>
    <w:rsid w:val="00552DB8"/>
    <w:rsid w:val="00553FEF"/>
    <w:rsid w:val="00554574"/>
    <w:rsid w:val="00554F3E"/>
    <w:rsid w:val="00555819"/>
    <w:rsid w:val="00557E6F"/>
    <w:rsid w:val="005600EB"/>
    <w:rsid w:val="00560131"/>
    <w:rsid w:val="00560D01"/>
    <w:rsid w:val="00560ED9"/>
    <w:rsid w:val="00561127"/>
    <w:rsid w:val="00561AEC"/>
    <w:rsid w:val="00562F5E"/>
    <w:rsid w:val="00571CF4"/>
    <w:rsid w:val="0057476E"/>
    <w:rsid w:val="00575F6C"/>
    <w:rsid w:val="00576135"/>
    <w:rsid w:val="00580494"/>
    <w:rsid w:val="00580AB5"/>
    <w:rsid w:val="00580C56"/>
    <w:rsid w:val="005819A2"/>
    <w:rsid w:val="00584AAD"/>
    <w:rsid w:val="00587EA8"/>
    <w:rsid w:val="00591DB6"/>
    <w:rsid w:val="00591FA4"/>
    <w:rsid w:val="0059234D"/>
    <w:rsid w:val="005945B4"/>
    <w:rsid w:val="00594A32"/>
    <w:rsid w:val="00594A58"/>
    <w:rsid w:val="005A0E8B"/>
    <w:rsid w:val="005A0F2A"/>
    <w:rsid w:val="005A4B72"/>
    <w:rsid w:val="005A4EBE"/>
    <w:rsid w:val="005A6E0D"/>
    <w:rsid w:val="005A7B5E"/>
    <w:rsid w:val="005A7EE0"/>
    <w:rsid w:val="005B292A"/>
    <w:rsid w:val="005B7173"/>
    <w:rsid w:val="005B7E40"/>
    <w:rsid w:val="005C0E16"/>
    <w:rsid w:val="005C14D9"/>
    <w:rsid w:val="005C5940"/>
    <w:rsid w:val="005C64C6"/>
    <w:rsid w:val="005D376D"/>
    <w:rsid w:val="005D58B3"/>
    <w:rsid w:val="005D7F04"/>
    <w:rsid w:val="005E5E0C"/>
    <w:rsid w:val="005E704A"/>
    <w:rsid w:val="005E7D98"/>
    <w:rsid w:val="005F0CE5"/>
    <w:rsid w:val="005F1892"/>
    <w:rsid w:val="005F3598"/>
    <w:rsid w:val="005F3921"/>
    <w:rsid w:val="005F4690"/>
    <w:rsid w:val="00601BF7"/>
    <w:rsid w:val="00602746"/>
    <w:rsid w:val="00620899"/>
    <w:rsid w:val="0062187D"/>
    <w:rsid w:val="00622C60"/>
    <w:rsid w:val="00622D8C"/>
    <w:rsid w:val="006272E5"/>
    <w:rsid w:val="00631F33"/>
    <w:rsid w:val="0063358A"/>
    <w:rsid w:val="00634A49"/>
    <w:rsid w:val="006350A7"/>
    <w:rsid w:val="006363E7"/>
    <w:rsid w:val="006366BF"/>
    <w:rsid w:val="00636793"/>
    <w:rsid w:val="00636E20"/>
    <w:rsid w:val="00637503"/>
    <w:rsid w:val="0063792B"/>
    <w:rsid w:val="00640012"/>
    <w:rsid w:val="00640C8F"/>
    <w:rsid w:val="00654A15"/>
    <w:rsid w:val="006566B6"/>
    <w:rsid w:val="006613C0"/>
    <w:rsid w:val="006628F1"/>
    <w:rsid w:val="00663F09"/>
    <w:rsid w:val="00666AAB"/>
    <w:rsid w:val="00666DA4"/>
    <w:rsid w:val="0066733E"/>
    <w:rsid w:val="00671806"/>
    <w:rsid w:val="00671B14"/>
    <w:rsid w:val="0067353F"/>
    <w:rsid w:val="00674FE2"/>
    <w:rsid w:val="00676BFF"/>
    <w:rsid w:val="00677AFA"/>
    <w:rsid w:val="00683F0B"/>
    <w:rsid w:val="00685ACD"/>
    <w:rsid w:val="006914A5"/>
    <w:rsid w:val="00694517"/>
    <w:rsid w:val="006966B3"/>
    <w:rsid w:val="006A56F5"/>
    <w:rsid w:val="006A7831"/>
    <w:rsid w:val="006B1552"/>
    <w:rsid w:val="006B17CF"/>
    <w:rsid w:val="006B35DE"/>
    <w:rsid w:val="006B4376"/>
    <w:rsid w:val="006B72CD"/>
    <w:rsid w:val="006B7482"/>
    <w:rsid w:val="006C015B"/>
    <w:rsid w:val="006C28FC"/>
    <w:rsid w:val="006C4C4A"/>
    <w:rsid w:val="006C4E3A"/>
    <w:rsid w:val="006C73A1"/>
    <w:rsid w:val="006C757E"/>
    <w:rsid w:val="006D0907"/>
    <w:rsid w:val="006D13FE"/>
    <w:rsid w:val="006D2732"/>
    <w:rsid w:val="006D313A"/>
    <w:rsid w:val="006D3DAA"/>
    <w:rsid w:val="006E0376"/>
    <w:rsid w:val="006E3A39"/>
    <w:rsid w:val="006E41B3"/>
    <w:rsid w:val="006E4C25"/>
    <w:rsid w:val="006E79EA"/>
    <w:rsid w:val="006F6C32"/>
    <w:rsid w:val="007003AA"/>
    <w:rsid w:val="007048FC"/>
    <w:rsid w:val="00705D5B"/>
    <w:rsid w:val="00706E27"/>
    <w:rsid w:val="007105C5"/>
    <w:rsid w:val="00711749"/>
    <w:rsid w:val="00713D80"/>
    <w:rsid w:val="007167E9"/>
    <w:rsid w:val="00716DE0"/>
    <w:rsid w:val="00720825"/>
    <w:rsid w:val="007210F6"/>
    <w:rsid w:val="00721115"/>
    <w:rsid w:val="0072140C"/>
    <w:rsid w:val="007233C0"/>
    <w:rsid w:val="007236C2"/>
    <w:rsid w:val="00724631"/>
    <w:rsid w:val="00726D18"/>
    <w:rsid w:val="00730273"/>
    <w:rsid w:val="00732E23"/>
    <w:rsid w:val="0073685A"/>
    <w:rsid w:val="00743742"/>
    <w:rsid w:val="0074442D"/>
    <w:rsid w:val="00746535"/>
    <w:rsid w:val="00747030"/>
    <w:rsid w:val="00747F97"/>
    <w:rsid w:val="00750E66"/>
    <w:rsid w:val="007525E0"/>
    <w:rsid w:val="00754A6F"/>
    <w:rsid w:val="00756A77"/>
    <w:rsid w:val="007577FD"/>
    <w:rsid w:val="00760BD1"/>
    <w:rsid w:val="00762355"/>
    <w:rsid w:val="00763125"/>
    <w:rsid w:val="007646C1"/>
    <w:rsid w:val="0076592E"/>
    <w:rsid w:val="00765931"/>
    <w:rsid w:val="007668D1"/>
    <w:rsid w:val="007736EE"/>
    <w:rsid w:val="00773A10"/>
    <w:rsid w:val="007744CD"/>
    <w:rsid w:val="00775891"/>
    <w:rsid w:val="007765AF"/>
    <w:rsid w:val="0078462F"/>
    <w:rsid w:val="00786BF4"/>
    <w:rsid w:val="00787340"/>
    <w:rsid w:val="007910C0"/>
    <w:rsid w:val="00795AA5"/>
    <w:rsid w:val="00796DF5"/>
    <w:rsid w:val="007A1C42"/>
    <w:rsid w:val="007A1FA4"/>
    <w:rsid w:val="007A4245"/>
    <w:rsid w:val="007A6742"/>
    <w:rsid w:val="007A71ED"/>
    <w:rsid w:val="007A7807"/>
    <w:rsid w:val="007B0F4D"/>
    <w:rsid w:val="007B254C"/>
    <w:rsid w:val="007B5978"/>
    <w:rsid w:val="007B7084"/>
    <w:rsid w:val="007B7706"/>
    <w:rsid w:val="007C10E6"/>
    <w:rsid w:val="007C2B6E"/>
    <w:rsid w:val="007C51F5"/>
    <w:rsid w:val="007D01CC"/>
    <w:rsid w:val="007D01FD"/>
    <w:rsid w:val="007D19EA"/>
    <w:rsid w:val="007D31D3"/>
    <w:rsid w:val="007D3245"/>
    <w:rsid w:val="007D46BD"/>
    <w:rsid w:val="007D6D70"/>
    <w:rsid w:val="007E29E4"/>
    <w:rsid w:val="007E30C5"/>
    <w:rsid w:val="007E4AE9"/>
    <w:rsid w:val="007E5196"/>
    <w:rsid w:val="007E640D"/>
    <w:rsid w:val="007E6588"/>
    <w:rsid w:val="007E688D"/>
    <w:rsid w:val="007F1159"/>
    <w:rsid w:val="007F49CA"/>
    <w:rsid w:val="007F7A59"/>
    <w:rsid w:val="00801C77"/>
    <w:rsid w:val="00803DEF"/>
    <w:rsid w:val="008041EF"/>
    <w:rsid w:val="00807869"/>
    <w:rsid w:val="00807CE8"/>
    <w:rsid w:val="00821054"/>
    <w:rsid w:val="0082154E"/>
    <w:rsid w:val="00821DA1"/>
    <w:rsid w:val="00825039"/>
    <w:rsid w:val="0082634B"/>
    <w:rsid w:val="008265A2"/>
    <w:rsid w:val="00827459"/>
    <w:rsid w:val="00830946"/>
    <w:rsid w:val="00841A9E"/>
    <w:rsid w:val="00845B11"/>
    <w:rsid w:val="00845F02"/>
    <w:rsid w:val="0084695D"/>
    <w:rsid w:val="0084696D"/>
    <w:rsid w:val="00850530"/>
    <w:rsid w:val="00850DDB"/>
    <w:rsid w:val="00852447"/>
    <w:rsid w:val="008526F8"/>
    <w:rsid w:val="00853A94"/>
    <w:rsid w:val="00854778"/>
    <w:rsid w:val="00854C2C"/>
    <w:rsid w:val="0085708B"/>
    <w:rsid w:val="00860CE0"/>
    <w:rsid w:val="00861D96"/>
    <w:rsid w:val="00862114"/>
    <w:rsid w:val="008648A9"/>
    <w:rsid w:val="00864D1F"/>
    <w:rsid w:val="008667BF"/>
    <w:rsid w:val="0086756D"/>
    <w:rsid w:val="008701C6"/>
    <w:rsid w:val="0087227F"/>
    <w:rsid w:val="00872EF8"/>
    <w:rsid w:val="0087375E"/>
    <w:rsid w:val="00874E19"/>
    <w:rsid w:val="00875B71"/>
    <w:rsid w:val="00880BD2"/>
    <w:rsid w:val="00883A59"/>
    <w:rsid w:val="00893BB4"/>
    <w:rsid w:val="008947CD"/>
    <w:rsid w:val="00896235"/>
    <w:rsid w:val="00897000"/>
    <w:rsid w:val="008A0C4A"/>
    <w:rsid w:val="008A0DF4"/>
    <w:rsid w:val="008A1810"/>
    <w:rsid w:val="008A32C1"/>
    <w:rsid w:val="008A413D"/>
    <w:rsid w:val="008A4BD0"/>
    <w:rsid w:val="008A5DF3"/>
    <w:rsid w:val="008B1DF4"/>
    <w:rsid w:val="008B374E"/>
    <w:rsid w:val="008B4D00"/>
    <w:rsid w:val="008B5C40"/>
    <w:rsid w:val="008B64EE"/>
    <w:rsid w:val="008C0302"/>
    <w:rsid w:val="008C23F4"/>
    <w:rsid w:val="008D1EAA"/>
    <w:rsid w:val="008D3AB2"/>
    <w:rsid w:val="008D501E"/>
    <w:rsid w:val="008D592B"/>
    <w:rsid w:val="008D5A18"/>
    <w:rsid w:val="008D6039"/>
    <w:rsid w:val="008D6561"/>
    <w:rsid w:val="008D6F5B"/>
    <w:rsid w:val="008D7A32"/>
    <w:rsid w:val="008E4BBF"/>
    <w:rsid w:val="008E635F"/>
    <w:rsid w:val="008F4558"/>
    <w:rsid w:val="008F4C48"/>
    <w:rsid w:val="008F6641"/>
    <w:rsid w:val="00904ED6"/>
    <w:rsid w:val="00906CE5"/>
    <w:rsid w:val="0090731F"/>
    <w:rsid w:val="00911261"/>
    <w:rsid w:val="00912BA6"/>
    <w:rsid w:val="00914806"/>
    <w:rsid w:val="00916AC8"/>
    <w:rsid w:val="00917D51"/>
    <w:rsid w:val="0092411F"/>
    <w:rsid w:val="00925337"/>
    <w:rsid w:val="00926D5F"/>
    <w:rsid w:val="00930139"/>
    <w:rsid w:val="00931318"/>
    <w:rsid w:val="00931748"/>
    <w:rsid w:val="009346A2"/>
    <w:rsid w:val="00937F29"/>
    <w:rsid w:val="00940D5A"/>
    <w:rsid w:val="00940FE7"/>
    <w:rsid w:val="009418DB"/>
    <w:rsid w:val="00941969"/>
    <w:rsid w:val="00941B7D"/>
    <w:rsid w:val="00941E34"/>
    <w:rsid w:val="00942A1F"/>
    <w:rsid w:val="00944BD7"/>
    <w:rsid w:val="00944BEC"/>
    <w:rsid w:val="009522FA"/>
    <w:rsid w:val="0095553E"/>
    <w:rsid w:val="009567AC"/>
    <w:rsid w:val="00961117"/>
    <w:rsid w:val="009618D4"/>
    <w:rsid w:val="00963EDB"/>
    <w:rsid w:val="00964742"/>
    <w:rsid w:val="009710FE"/>
    <w:rsid w:val="00971214"/>
    <w:rsid w:val="00973736"/>
    <w:rsid w:val="00981906"/>
    <w:rsid w:val="00982360"/>
    <w:rsid w:val="0098334B"/>
    <w:rsid w:val="00983418"/>
    <w:rsid w:val="0098366A"/>
    <w:rsid w:val="009871E8"/>
    <w:rsid w:val="00987A57"/>
    <w:rsid w:val="00987D82"/>
    <w:rsid w:val="00987EDB"/>
    <w:rsid w:val="00990C05"/>
    <w:rsid w:val="009921EC"/>
    <w:rsid w:val="009940B1"/>
    <w:rsid w:val="0099567C"/>
    <w:rsid w:val="009A05DE"/>
    <w:rsid w:val="009A3591"/>
    <w:rsid w:val="009A44B6"/>
    <w:rsid w:val="009B2688"/>
    <w:rsid w:val="009B27C0"/>
    <w:rsid w:val="009B42C0"/>
    <w:rsid w:val="009B5546"/>
    <w:rsid w:val="009B64B7"/>
    <w:rsid w:val="009B66FA"/>
    <w:rsid w:val="009B73F1"/>
    <w:rsid w:val="009B7A6B"/>
    <w:rsid w:val="009B7BC3"/>
    <w:rsid w:val="009B7F5C"/>
    <w:rsid w:val="009C2098"/>
    <w:rsid w:val="009C25DE"/>
    <w:rsid w:val="009C5ED7"/>
    <w:rsid w:val="009C6E5F"/>
    <w:rsid w:val="009D0316"/>
    <w:rsid w:val="009D1530"/>
    <w:rsid w:val="009D24C9"/>
    <w:rsid w:val="009E1E4E"/>
    <w:rsid w:val="009E3884"/>
    <w:rsid w:val="009E3A7E"/>
    <w:rsid w:val="009E4719"/>
    <w:rsid w:val="009E4EFA"/>
    <w:rsid w:val="009E4FC5"/>
    <w:rsid w:val="009E5A07"/>
    <w:rsid w:val="009E616D"/>
    <w:rsid w:val="009E6714"/>
    <w:rsid w:val="009F32C8"/>
    <w:rsid w:val="009F3B4D"/>
    <w:rsid w:val="009F4AC5"/>
    <w:rsid w:val="009F6EF5"/>
    <w:rsid w:val="009F772E"/>
    <w:rsid w:val="00A0263E"/>
    <w:rsid w:val="00A02A37"/>
    <w:rsid w:val="00A02F3E"/>
    <w:rsid w:val="00A05737"/>
    <w:rsid w:val="00A06CF5"/>
    <w:rsid w:val="00A10F6D"/>
    <w:rsid w:val="00A1494F"/>
    <w:rsid w:val="00A178CC"/>
    <w:rsid w:val="00A221FC"/>
    <w:rsid w:val="00A224CB"/>
    <w:rsid w:val="00A23016"/>
    <w:rsid w:val="00A24514"/>
    <w:rsid w:val="00A26B06"/>
    <w:rsid w:val="00A27189"/>
    <w:rsid w:val="00A27DD9"/>
    <w:rsid w:val="00A33969"/>
    <w:rsid w:val="00A36355"/>
    <w:rsid w:val="00A36B47"/>
    <w:rsid w:val="00A37943"/>
    <w:rsid w:val="00A402D8"/>
    <w:rsid w:val="00A40FA8"/>
    <w:rsid w:val="00A4166D"/>
    <w:rsid w:val="00A423A0"/>
    <w:rsid w:val="00A43DCD"/>
    <w:rsid w:val="00A46464"/>
    <w:rsid w:val="00A46F8D"/>
    <w:rsid w:val="00A47264"/>
    <w:rsid w:val="00A536C0"/>
    <w:rsid w:val="00A54A00"/>
    <w:rsid w:val="00A553A0"/>
    <w:rsid w:val="00A569CF"/>
    <w:rsid w:val="00A61970"/>
    <w:rsid w:val="00A61F8D"/>
    <w:rsid w:val="00A64970"/>
    <w:rsid w:val="00A65074"/>
    <w:rsid w:val="00A65950"/>
    <w:rsid w:val="00A6666D"/>
    <w:rsid w:val="00A672AC"/>
    <w:rsid w:val="00A7007A"/>
    <w:rsid w:val="00A7027E"/>
    <w:rsid w:val="00A73D2F"/>
    <w:rsid w:val="00A74BC2"/>
    <w:rsid w:val="00A86943"/>
    <w:rsid w:val="00A871C4"/>
    <w:rsid w:val="00A921F2"/>
    <w:rsid w:val="00A92666"/>
    <w:rsid w:val="00A92B60"/>
    <w:rsid w:val="00A9452F"/>
    <w:rsid w:val="00A95845"/>
    <w:rsid w:val="00A97B52"/>
    <w:rsid w:val="00AA18ED"/>
    <w:rsid w:val="00AA1BD1"/>
    <w:rsid w:val="00AA2F78"/>
    <w:rsid w:val="00AA56B1"/>
    <w:rsid w:val="00AB2AFD"/>
    <w:rsid w:val="00AB2BEF"/>
    <w:rsid w:val="00AB45C7"/>
    <w:rsid w:val="00AB4CD4"/>
    <w:rsid w:val="00AB5FE9"/>
    <w:rsid w:val="00AB75FC"/>
    <w:rsid w:val="00AC1994"/>
    <w:rsid w:val="00AC4F53"/>
    <w:rsid w:val="00AC6A7A"/>
    <w:rsid w:val="00AD1C2E"/>
    <w:rsid w:val="00AD206B"/>
    <w:rsid w:val="00AD4C3F"/>
    <w:rsid w:val="00AE0749"/>
    <w:rsid w:val="00AE0993"/>
    <w:rsid w:val="00AE23CE"/>
    <w:rsid w:val="00AF07D2"/>
    <w:rsid w:val="00AF0F77"/>
    <w:rsid w:val="00AF362D"/>
    <w:rsid w:val="00AF40D9"/>
    <w:rsid w:val="00AF5B38"/>
    <w:rsid w:val="00AF6BBA"/>
    <w:rsid w:val="00AF72F5"/>
    <w:rsid w:val="00B0027C"/>
    <w:rsid w:val="00B0073B"/>
    <w:rsid w:val="00B02E83"/>
    <w:rsid w:val="00B04DFB"/>
    <w:rsid w:val="00B053A3"/>
    <w:rsid w:val="00B062B9"/>
    <w:rsid w:val="00B10B11"/>
    <w:rsid w:val="00B1190D"/>
    <w:rsid w:val="00B11C9A"/>
    <w:rsid w:val="00B12158"/>
    <w:rsid w:val="00B131A1"/>
    <w:rsid w:val="00B14757"/>
    <w:rsid w:val="00B166A3"/>
    <w:rsid w:val="00B20AE2"/>
    <w:rsid w:val="00B23D54"/>
    <w:rsid w:val="00B24076"/>
    <w:rsid w:val="00B24DEF"/>
    <w:rsid w:val="00B27C54"/>
    <w:rsid w:val="00B27FAF"/>
    <w:rsid w:val="00B31E81"/>
    <w:rsid w:val="00B32AE9"/>
    <w:rsid w:val="00B33B19"/>
    <w:rsid w:val="00B33C6A"/>
    <w:rsid w:val="00B34410"/>
    <w:rsid w:val="00B37A1B"/>
    <w:rsid w:val="00B4040B"/>
    <w:rsid w:val="00B41660"/>
    <w:rsid w:val="00B43725"/>
    <w:rsid w:val="00B46878"/>
    <w:rsid w:val="00B4710D"/>
    <w:rsid w:val="00B53411"/>
    <w:rsid w:val="00B5547D"/>
    <w:rsid w:val="00B5634C"/>
    <w:rsid w:val="00B57F13"/>
    <w:rsid w:val="00B61A37"/>
    <w:rsid w:val="00B61BAD"/>
    <w:rsid w:val="00B61C0C"/>
    <w:rsid w:val="00B63551"/>
    <w:rsid w:val="00B63556"/>
    <w:rsid w:val="00B65282"/>
    <w:rsid w:val="00B652D9"/>
    <w:rsid w:val="00B66151"/>
    <w:rsid w:val="00B66EF4"/>
    <w:rsid w:val="00B7113B"/>
    <w:rsid w:val="00B71DC1"/>
    <w:rsid w:val="00B74458"/>
    <w:rsid w:val="00B74D52"/>
    <w:rsid w:val="00B7524D"/>
    <w:rsid w:val="00B8592B"/>
    <w:rsid w:val="00B86FDC"/>
    <w:rsid w:val="00B87297"/>
    <w:rsid w:val="00B873C9"/>
    <w:rsid w:val="00B87473"/>
    <w:rsid w:val="00B90D22"/>
    <w:rsid w:val="00B91ECB"/>
    <w:rsid w:val="00B934EE"/>
    <w:rsid w:val="00BA00E9"/>
    <w:rsid w:val="00BA0D10"/>
    <w:rsid w:val="00BA0E22"/>
    <w:rsid w:val="00BA3C86"/>
    <w:rsid w:val="00BA4B60"/>
    <w:rsid w:val="00BA50FC"/>
    <w:rsid w:val="00BA6609"/>
    <w:rsid w:val="00BA78F9"/>
    <w:rsid w:val="00BB1667"/>
    <w:rsid w:val="00BB16F5"/>
    <w:rsid w:val="00BB313E"/>
    <w:rsid w:val="00BB32C8"/>
    <w:rsid w:val="00BB35CB"/>
    <w:rsid w:val="00BB41E5"/>
    <w:rsid w:val="00BB48BD"/>
    <w:rsid w:val="00BB556C"/>
    <w:rsid w:val="00BC14D1"/>
    <w:rsid w:val="00BC1BAC"/>
    <w:rsid w:val="00BC3D7D"/>
    <w:rsid w:val="00BC60BE"/>
    <w:rsid w:val="00BD1AC1"/>
    <w:rsid w:val="00BD480E"/>
    <w:rsid w:val="00BD71BF"/>
    <w:rsid w:val="00BE3883"/>
    <w:rsid w:val="00BE6E4E"/>
    <w:rsid w:val="00BE79EC"/>
    <w:rsid w:val="00BF109B"/>
    <w:rsid w:val="00BF250E"/>
    <w:rsid w:val="00BF39E3"/>
    <w:rsid w:val="00BF3AC7"/>
    <w:rsid w:val="00BF57AE"/>
    <w:rsid w:val="00BF57CD"/>
    <w:rsid w:val="00BF5A8E"/>
    <w:rsid w:val="00BF75BC"/>
    <w:rsid w:val="00C01416"/>
    <w:rsid w:val="00C01F01"/>
    <w:rsid w:val="00C02666"/>
    <w:rsid w:val="00C02DA6"/>
    <w:rsid w:val="00C04580"/>
    <w:rsid w:val="00C0535C"/>
    <w:rsid w:val="00C05D1E"/>
    <w:rsid w:val="00C06532"/>
    <w:rsid w:val="00C06E25"/>
    <w:rsid w:val="00C077C5"/>
    <w:rsid w:val="00C07B29"/>
    <w:rsid w:val="00C10010"/>
    <w:rsid w:val="00C116B7"/>
    <w:rsid w:val="00C16E47"/>
    <w:rsid w:val="00C17663"/>
    <w:rsid w:val="00C229EF"/>
    <w:rsid w:val="00C2363F"/>
    <w:rsid w:val="00C27BE2"/>
    <w:rsid w:val="00C27F0E"/>
    <w:rsid w:val="00C310C8"/>
    <w:rsid w:val="00C31A13"/>
    <w:rsid w:val="00C32224"/>
    <w:rsid w:val="00C34ACF"/>
    <w:rsid w:val="00C3785D"/>
    <w:rsid w:val="00C404E1"/>
    <w:rsid w:val="00C451BF"/>
    <w:rsid w:val="00C45491"/>
    <w:rsid w:val="00C4669A"/>
    <w:rsid w:val="00C472BC"/>
    <w:rsid w:val="00C516ED"/>
    <w:rsid w:val="00C53855"/>
    <w:rsid w:val="00C53BB3"/>
    <w:rsid w:val="00C544C7"/>
    <w:rsid w:val="00C57411"/>
    <w:rsid w:val="00C604A5"/>
    <w:rsid w:val="00C605D5"/>
    <w:rsid w:val="00C6219F"/>
    <w:rsid w:val="00C6409B"/>
    <w:rsid w:val="00C643E1"/>
    <w:rsid w:val="00C64C41"/>
    <w:rsid w:val="00C707B6"/>
    <w:rsid w:val="00C70AA1"/>
    <w:rsid w:val="00C70B3E"/>
    <w:rsid w:val="00C70C1D"/>
    <w:rsid w:val="00C723B2"/>
    <w:rsid w:val="00C7336F"/>
    <w:rsid w:val="00C7502B"/>
    <w:rsid w:val="00C810A7"/>
    <w:rsid w:val="00C8149D"/>
    <w:rsid w:val="00C819E2"/>
    <w:rsid w:val="00C8249E"/>
    <w:rsid w:val="00C8301F"/>
    <w:rsid w:val="00C83A94"/>
    <w:rsid w:val="00C84A9D"/>
    <w:rsid w:val="00C84FFE"/>
    <w:rsid w:val="00C86AFE"/>
    <w:rsid w:val="00C91CA6"/>
    <w:rsid w:val="00C92B34"/>
    <w:rsid w:val="00C935B2"/>
    <w:rsid w:val="00C9536E"/>
    <w:rsid w:val="00C97666"/>
    <w:rsid w:val="00CA186B"/>
    <w:rsid w:val="00CA3252"/>
    <w:rsid w:val="00CA38A3"/>
    <w:rsid w:val="00CA5AB4"/>
    <w:rsid w:val="00CA6207"/>
    <w:rsid w:val="00CB1ECE"/>
    <w:rsid w:val="00CB202D"/>
    <w:rsid w:val="00CB4983"/>
    <w:rsid w:val="00CB7047"/>
    <w:rsid w:val="00CB72E4"/>
    <w:rsid w:val="00CB7F61"/>
    <w:rsid w:val="00CC566E"/>
    <w:rsid w:val="00CC7DC3"/>
    <w:rsid w:val="00CD16A5"/>
    <w:rsid w:val="00CD2641"/>
    <w:rsid w:val="00CD5AE5"/>
    <w:rsid w:val="00CD5F6F"/>
    <w:rsid w:val="00CD6BC7"/>
    <w:rsid w:val="00CD70C4"/>
    <w:rsid w:val="00CD73BD"/>
    <w:rsid w:val="00CE269E"/>
    <w:rsid w:val="00CE3823"/>
    <w:rsid w:val="00CE38D7"/>
    <w:rsid w:val="00CE78E5"/>
    <w:rsid w:val="00CE7A85"/>
    <w:rsid w:val="00CE7DC3"/>
    <w:rsid w:val="00CF4911"/>
    <w:rsid w:val="00CF57B5"/>
    <w:rsid w:val="00CF5FC0"/>
    <w:rsid w:val="00CF7584"/>
    <w:rsid w:val="00D00D23"/>
    <w:rsid w:val="00D02686"/>
    <w:rsid w:val="00D02819"/>
    <w:rsid w:val="00D079F7"/>
    <w:rsid w:val="00D10B51"/>
    <w:rsid w:val="00D124AA"/>
    <w:rsid w:val="00D12CB8"/>
    <w:rsid w:val="00D12DF6"/>
    <w:rsid w:val="00D13152"/>
    <w:rsid w:val="00D214AD"/>
    <w:rsid w:val="00D26CC9"/>
    <w:rsid w:val="00D3170F"/>
    <w:rsid w:val="00D3323C"/>
    <w:rsid w:val="00D351FA"/>
    <w:rsid w:val="00D41ECD"/>
    <w:rsid w:val="00D42329"/>
    <w:rsid w:val="00D4324A"/>
    <w:rsid w:val="00D441DC"/>
    <w:rsid w:val="00D45BE7"/>
    <w:rsid w:val="00D467D3"/>
    <w:rsid w:val="00D52B77"/>
    <w:rsid w:val="00D52DC0"/>
    <w:rsid w:val="00D53860"/>
    <w:rsid w:val="00D56048"/>
    <w:rsid w:val="00D56841"/>
    <w:rsid w:val="00D56B55"/>
    <w:rsid w:val="00D575B7"/>
    <w:rsid w:val="00D57B9D"/>
    <w:rsid w:val="00D61D2F"/>
    <w:rsid w:val="00D622FE"/>
    <w:rsid w:val="00D63052"/>
    <w:rsid w:val="00D63577"/>
    <w:rsid w:val="00D6736B"/>
    <w:rsid w:val="00D67945"/>
    <w:rsid w:val="00D704F7"/>
    <w:rsid w:val="00D71F59"/>
    <w:rsid w:val="00D76569"/>
    <w:rsid w:val="00D7662A"/>
    <w:rsid w:val="00D8337D"/>
    <w:rsid w:val="00D853C2"/>
    <w:rsid w:val="00D87BDB"/>
    <w:rsid w:val="00D91DE8"/>
    <w:rsid w:val="00D93D79"/>
    <w:rsid w:val="00D94F0E"/>
    <w:rsid w:val="00D96262"/>
    <w:rsid w:val="00D9725F"/>
    <w:rsid w:val="00DA3E4B"/>
    <w:rsid w:val="00DA44BC"/>
    <w:rsid w:val="00DA4DBB"/>
    <w:rsid w:val="00DA5B05"/>
    <w:rsid w:val="00DA6295"/>
    <w:rsid w:val="00DA67A0"/>
    <w:rsid w:val="00DA7D20"/>
    <w:rsid w:val="00DB075E"/>
    <w:rsid w:val="00DB3FF1"/>
    <w:rsid w:val="00DB539D"/>
    <w:rsid w:val="00DB716B"/>
    <w:rsid w:val="00DB7EA0"/>
    <w:rsid w:val="00DC0472"/>
    <w:rsid w:val="00DC1881"/>
    <w:rsid w:val="00DC2794"/>
    <w:rsid w:val="00DC2B4B"/>
    <w:rsid w:val="00DC5837"/>
    <w:rsid w:val="00DC5D21"/>
    <w:rsid w:val="00DC5E42"/>
    <w:rsid w:val="00DC6C0B"/>
    <w:rsid w:val="00DC70EF"/>
    <w:rsid w:val="00DD1E10"/>
    <w:rsid w:val="00DD380D"/>
    <w:rsid w:val="00DD3EBE"/>
    <w:rsid w:val="00DD4725"/>
    <w:rsid w:val="00DD6336"/>
    <w:rsid w:val="00DD6EE3"/>
    <w:rsid w:val="00DE4913"/>
    <w:rsid w:val="00DE7872"/>
    <w:rsid w:val="00DF0035"/>
    <w:rsid w:val="00DF12AC"/>
    <w:rsid w:val="00DF1EC8"/>
    <w:rsid w:val="00DF257E"/>
    <w:rsid w:val="00DF3B07"/>
    <w:rsid w:val="00DF505E"/>
    <w:rsid w:val="00E0145E"/>
    <w:rsid w:val="00E01596"/>
    <w:rsid w:val="00E036C9"/>
    <w:rsid w:val="00E06230"/>
    <w:rsid w:val="00E0721C"/>
    <w:rsid w:val="00E12C07"/>
    <w:rsid w:val="00E151AD"/>
    <w:rsid w:val="00E177F2"/>
    <w:rsid w:val="00E17F7D"/>
    <w:rsid w:val="00E21023"/>
    <w:rsid w:val="00E23328"/>
    <w:rsid w:val="00E3657F"/>
    <w:rsid w:val="00E40829"/>
    <w:rsid w:val="00E41FAD"/>
    <w:rsid w:val="00E42313"/>
    <w:rsid w:val="00E42EC8"/>
    <w:rsid w:val="00E43827"/>
    <w:rsid w:val="00E453E2"/>
    <w:rsid w:val="00E4613A"/>
    <w:rsid w:val="00E51D20"/>
    <w:rsid w:val="00E5446A"/>
    <w:rsid w:val="00E55785"/>
    <w:rsid w:val="00E63ACB"/>
    <w:rsid w:val="00E666B4"/>
    <w:rsid w:val="00E66E53"/>
    <w:rsid w:val="00E6738A"/>
    <w:rsid w:val="00E67F9B"/>
    <w:rsid w:val="00E82E3A"/>
    <w:rsid w:val="00E830C2"/>
    <w:rsid w:val="00E831FB"/>
    <w:rsid w:val="00E84686"/>
    <w:rsid w:val="00E84717"/>
    <w:rsid w:val="00E854F3"/>
    <w:rsid w:val="00E864D3"/>
    <w:rsid w:val="00E871BF"/>
    <w:rsid w:val="00E90A92"/>
    <w:rsid w:val="00E92BEB"/>
    <w:rsid w:val="00E93AE3"/>
    <w:rsid w:val="00E9406C"/>
    <w:rsid w:val="00E94B4D"/>
    <w:rsid w:val="00E95700"/>
    <w:rsid w:val="00E95F79"/>
    <w:rsid w:val="00EA095E"/>
    <w:rsid w:val="00EA3E45"/>
    <w:rsid w:val="00EA429C"/>
    <w:rsid w:val="00EA5BCF"/>
    <w:rsid w:val="00EB16BD"/>
    <w:rsid w:val="00EB431D"/>
    <w:rsid w:val="00EB7AFB"/>
    <w:rsid w:val="00EC404C"/>
    <w:rsid w:val="00EC438E"/>
    <w:rsid w:val="00EC46EA"/>
    <w:rsid w:val="00EC759C"/>
    <w:rsid w:val="00ED0560"/>
    <w:rsid w:val="00ED058A"/>
    <w:rsid w:val="00ED32C9"/>
    <w:rsid w:val="00ED3A67"/>
    <w:rsid w:val="00ED40AB"/>
    <w:rsid w:val="00ED4BBE"/>
    <w:rsid w:val="00ED5431"/>
    <w:rsid w:val="00ED5A15"/>
    <w:rsid w:val="00ED66B9"/>
    <w:rsid w:val="00EE0E94"/>
    <w:rsid w:val="00EE14E1"/>
    <w:rsid w:val="00EE17EB"/>
    <w:rsid w:val="00EE2273"/>
    <w:rsid w:val="00EE6812"/>
    <w:rsid w:val="00EE6943"/>
    <w:rsid w:val="00EF0195"/>
    <w:rsid w:val="00EF29B0"/>
    <w:rsid w:val="00EF2FDA"/>
    <w:rsid w:val="00EF428E"/>
    <w:rsid w:val="00EF677D"/>
    <w:rsid w:val="00EF71B6"/>
    <w:rsid w:val="00EF7733"/>
    <w:rsid w:val="00F0162B"/>
    <w:rsid w:val="00F13B78"/>
    <w:rsid w:val="00F1794F"/>
    <w:rsid w:val="00F243D5"/>
    <w:rsid w:val="00F30002"/>
    <w:rsid w:val="00F30BFA"/>
    <w:rsid w:val="00F33346"/>
    <w:rsid w:val="00F33891"/>
    <w:rsid w:val="00F343CA"/>
    <w:rsid w:val="00F34CA6"/>
    <w:rsid w:val="00F35B4A"/>
    <w:rsid w:val="00F37B7C"/>
    <w:rsid w:val="00F410C3"/>
    <w:rsid w:val="00F41624"/>
    <w:rsid w:val="00F54CE1"/>
    <w:rsid w:val="00F554EB"/>
    <w:rsid w:val="00F57662"/>
    <w:rsid w:val="00F6085D"/>
    <w:rsid w:val="00F62B3E"/>
    <w:rsid w:val="00F64806"/>
    <w:rsid w:val="00F71145"/>
    <w:rsid w:val="00F73ACF"/>
    <w:rsid w:val="00F73C20"/>
    <w:rsid w:val="00F73C6A"/>
    <w:rsid w:val="00F74A56"/>
    <w:rsid w:val="00F74B03"/>
    <w:rsid w:val="00F75DE1"/>
    <w:rsid w:val="00F7631B"/>
    <w:rsid w:val="00F7775E"/>
    <w:rsid w:val="00F77B3D"/>
    <w:rsid w:val="00F825D9"/>
    <w:rsid w:val="00F83FA0"/>
    <w:rsid w:val="00F84A47"/>
    <w:rsid w:val="00F84C61"/>
    <w:rsid w:val="00F85992"/>
    <w:rsid w:val="00F86B8F"/>
    <w:rsid w:val="00F871CB"/>
    <w:rsid w:val="00F875BB"/>
    <w:rsid w:val="00F9379B"/>
    <w:rsid w:val="00F93C0A"/>
    <w:rsid w:val="00F93D97"/>
    <w:rsid w:val="00F93EE6"/>
    <w:rsid w:val="00F94E63"/>
    <w:rsid w:val="00F957CF"/>
    <w:rsid w:val="00F95DF8"/>
    <w:rsid w:val="00F9776D"/>
    <w:rsid w:val="00F97B69"/>
    <w:rsid w:val="00F97FF9"/>
    <w:rsid w:val="00FA2D80"/>
    <w:rsid w:val="00FA2DA0"/>
    <w:rsid w:val="00FA338A"/>
    <w:rsid w:val="00FA39F8"/>
    <w:rsid w:val="00FA3AC5"/>
    <w:rsid w:val="00FA4898"/>
    <w:rsid w:val="00FA5004"/>
    <w:rsid w:val="00FA600D"/>
    <w:rsid w:val="00FA68EE"/>
    <w:rsid w:val="00FB4EBA"/>
    <w:rsid w:val="00FB5859"/>
    <w:rsid w:val="00FB72B7"/>
    <w:rsid w:val="00FC0314"/>
    <w:rsid w:val="00FC0627"/>
    <w:rsid w:val="00FC3D9F"/>
    <w:rsid w:val="00FC430F"/>
    <w:rsid w:val="00FC472D"/>
    <w:rsid w:val="00FC4965"/>
    <w:rsid w:val="00FC68E9"/>
    <w:rsid w:val="00FD645A"/>
    <w:rsid w:val="00FE0994"/>
    <w:rsid w:val="00FE3E67"/>
    <w:rsid w:val="00FE3E6A"/>
    <w:rsid w:val="00FE45A4"/>
    <w:rsid w:val="00FE7C06"/>
    <w:rsid w:val="00FF0014"/>
    <w:rsid w:val="00FF3C1A"/>
    <w:rsid w:val="00FF41CE"/>
    <w:rsid w:val="00FF5B4F"/>
    <w:rsid w:val="00FF705D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B6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qFormat/>
    <w:pPr>
      <w:autoSpaceDE w:val="0"/>
      <w:autoSpaceDN w:val="0"/>
      <w:spacing w:after="360" w:line="240" w:lineRule="exact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nhideWhenUsed/>
    <w:qFormat/>
    <w:rsid w:val="009B64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9B64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pacing w:before="120" w:line="340" w:lineRule="exact"/>
      <w:jc w:val="center"/>
    </w:pPr>
    <w:rPr>
      <w:b/>
      <w:bCs/>
      <w:sz w:val="32"/>
      <w:szCs w:val="32"/>
    </w:rPr>
  </w:style>
  <w:style w:type="paragraph" w:styleId="a5">
    <w:name w:val="Body Text Indent"/>
    <w:basedOn w:val="a0"/>
    <w:link w:val="a6"/>
    <w:pPr>
      <w:ind w:firstLine="900"/>
      <w:jc w:val="both"/>
    </w:pPr>
    <w:rPr>
      <w:sz w:val="28"/>
      <w:szCs w:val="28"/>
      <w:lang w:val="x-none" w:eastAsia="x-none"/>
    </w:rPr>
  </w:style>
  <w:style w:type="paragraph" w:styleId="21">
    <w:name w:val="Body Text Indent 2"/>
    <w:basedOn w:val="a0"/>
    <w:link w:val="22"/>
    <w:pPr>
      <w:ind w:firstLine="1080"/>
      <w:jc w:val="both"/>
    </w:pPr>
    <w:rPr>
      <w:sz w:val="28"/>
      <w:szCs w:val="28"/>
    </w:rPr>
  </w:style>
  <w:style w:type="paragraph" w:styleId="a7">
    <w:name w:val="Signature"/>
    <w:basedOn w:val="a0"/>
    <w:next w:val="a8"/>
    <w:pPr>
      <w:tabs>
        <w:tab w:val="left" w:pos="6804"/>
      </w:tabs>
      <w:spacing w:before="400" w:line="240" w:lineRule="exact"/>
    </w:pPr>
    <w:rPr>
      <w:sz w:val="28"/>
      <w:szCs w:val="28"/>
    </w:rPr>
  </w:style>
  <w:style w:type="paragraph" w:styleId="a8">
    <w:name w:val="Subtitle"/>
    <w:basedOn w:val="a0"/>
    <w:qFormat/>
    <w:pPr>
      <w:autoSpaceDE w:val="0"/>
      <w:autoSpaceDN w:val="0"/>
      <w:spacing w:before="360" w:line="240" w:lineRule="exact"/>
      <w:outlineLvl w:val="1"/>
    </w:p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0"/>
    <w:pPr>
      <w:jc w:val="center"/>
    </w:pPr>
    <w:rPr>
      <w:b/>
      <w:bCs/>
      <w:sz w:val="28"/>
      <w:szCs w:val="28"/>
    </w:rPr>
  </w:style>
  <w:style w:type="paragraph" w:styleId="ac">
    <w:name w:val="Block Text"/>
    <w:basedOn w:val="a0"/>
    <w:pPr>
      <w:ind w:left="-480" w:right="99" w:firstLine="1560"/>
      <w:jc w:val="both"/>
    </w:pPr>
    <w:rPr>
      <w:sz w:val="28"/>
    </w:rPr>
  </w:style>
  <w:style w:type="paragraph" w:styleId="31">
    <w:name w:val="Body Text Indent 3"/>
    <w:basedOn w:val="a0"/>
    <w:pPr>
      <w:ind w:left="-480" w:firstLine="1080"/>
      <w:jc w:val="both"/>
    </w:pPr>
    <w:rPr>
      <w:sz w:val="28"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styleId="af">
    <w:name w:val="page number"/>
    <w:basedOn w:val="a1"/>
  </w:style>
  <w:style w:type="character" w:customStyle="1" w:styleId="af0">
    <w:name w:val="Заголовок сообщения (текст)"/>
    <w:rPr>
      <w:rFonts w:ascii="Arial" w:hAnsi="Arial" w:cs="Arial"/>
      <w:b/>
      <w:bCs/>
      <w:spacing w:val="-4"/>
      <w:sz w:val="18"/>
      <w:szCs w:val="18"/>
    </w:rPr>
  </w:style>
  <w:style w:type="paragraph" w:styleId="2">
    <w:name w:val="List Number 2"/>
    <w:basedOn w:val="a0"/>
    <w:pPr>
      <w:numPr>
        <w:numId w:val="7"/>
      </w:numPr>
      <w:tabs>
        <w:tab w:val="clear" w:pos="643"/>
        <w:tab w:val="left" w:pos="709"/>
        <w:tab w:val="num" w:pos="1069"/>
        <w:tab w:val="left" w:pos="1134"/>
      </w:tabs>
      <w:spacing w:before="120" w:line="340" w:lineRule="exact"/>
      <w:ind w:left="0" w:firstLine="709"/>
      <w:jc w:val="both"/>
    </w:pPr>
    <w:rPr>
      <w:sz w:val="28"/>
    </w:rPr>
  </w:style>
  <w:style w:type="paragraph" w:styleId="23">
    <w:name w:val="List 2"/>
    <w:basedOn w:val="a0"/>
    <w:pPr>
      <w:ind w:left="566" w:hanging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1">
    <w:name w:val="Заголовок сообщения (последний)"/>
    <w:basedOn w:val="af2"/>
    <w:next w:val="ab"/>
    <w:autoRedefine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  <w:tab w:val="left" w:pos="1985"/>
        <w:tab w:val="left" w:pos="3572"/>
        <w:tab w:val="left" w:pos="5812"/>
        <w:tab w:val="right" w:pos="9720"/>
      </w:tabs>
      <w:spacing w:after="120" w:line="360" w:lineRule="auto"/>
      <w:ind w:left="0" w:firstLine="720"/>
      <w:jc w:val="both"/>
    </w:pPr>
    <w:rPr>
      <w:rFonts w:ascii="Times New Roman" w:hAnsi="Times New Roman" w:cs="Times New Roman"/>
      <w:spacing w:val="-14"/>
      <w:sz w:val="28"/>
      <w:szCs w:val="30"/>
    </w:rPr>
  </w:style>
  <w:style w:type="paragraph" w:styleId="af2">
    <w:name w:val="Message Header"/>
    <w:basedOn w:val="a0"/>
    <w:link w:val="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af4">
    <w:name w:val="Emphasis"/>
    <w:qFormat/>
    <w:rPr>
      <w:rFonts w:ascii="Arial" w:hAnsi="Arial" w:cs="Arial"/>
      <w:b/>
      <w:bCs/>
      <w:spacing w:val="-10"/>
      <w:sz w:val="16"/>
      <w:szCs w:val="16"/>
    </w:rPr>
  </w:style>
  <w:style w:type="paragraph" w:styleId="af5">
    <w:name w:val="Balloon Text"/>
    <w:basedOn w:val="a0"/>
    <w:semiHidden/>
    <w:rsid w:val="004038A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0"/>
    <w:autoRedefine/>
    <w:rsid w:val="002E2D75"/>
    <w:pPr>
      <w:spacing w:after="160" w:line="240" w:lineRule="exact"/>
    </w:pPr>
    <w:rPr>
      <w:sz w:val="28"/>
      <w:szCs w:val="20"/>
      <w:lang w:val="en-US" w:eastAsia="en-US"/>
    </w:rPr>
  </w:style>
  <w:style w:type="paragraph" w:styleId="24">
    <w:name w:val="Body Text 2"/>
    <w:basedOn w:val="a0"/>
    <w:rsid w:val="00F33891"/>
    <w:pPr>
      <w:spacing w:after="120" w:line="480" w:lineRule="auto"/>
    </w:pPr>
  </w:style>
  <w:style w:type="paragraph" w:customStyle="1" w:styleId="ConsPlusNormal">
    <w:name w:val="ConsPlusNormal"/>
    <w:rsid w:val="00F3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0"/>
    <w:semiHidden/>
    <w:rsid w:val="00EA095E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Стиль1"/>
    <w:basedOn w:val="a0"/>
    <w:rsid w:val="00E55785"/>
    <w:pPr>
      <w:spacing w:before="120" w:line="340" w:lineRule="exact"/>
      <w:ind w:firstLine="709"/>
      <w:jc w:val="both"/>
    </w:pPr>
    <w:rPr>
      <w:bCs/>
      <w:snapToGrid w:val="0"/>
      <w:sz w:val="28"/>
    </w:rPr>
  </w:style>
  <w:style w:type="paragraph" w:customStyle="1" w:styleId="af6">
    <w:name w:val="Знак Знак Знак Знак Знак Знак Знак Знак Знак Знак Знак Знак Знак"/>
    <w:basedOn w:val="a0"/>
    <w:autoRedefine/>
    <w:rsid w:val="00E830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CD16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0">
    <w:name w:val="Font Style60"/>
    <w:rsid w:val="0003027B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Номер"/>
    <w:basedOn w:val="a"/>
    <w:autoRedefine/>
    <w:rsid w:val="00B86FDC"/>
    <w:pPr>
      <w:numPr>
        <w:numId w:val="0"/>
      </w:numPr>
      <w:tabs>
        <w:tab w:val="left" w:pos="754"/>
        <w:tab w:val="left" w:pos="1021"/>
      </w:tabs>
      <w:spacing w:line="360" w:lineRule="exact"/>
      <w:ind w:right="318" w:firstLine="539"/>
      <w:jc w:val="both"/>
    </w:pPr>
    <w:rPr>
      <w:sz w:val="28"/>
    </w:rPr>
  </w:style>
  <w:style w:type="paragraph" w:styleId="a">
    <w:name w:val="List Number"/>
    <w:basedOn w:val="a0"/>
    <w:rsid w:val="00B86FDC"/>
    <w:pPr>
      <w:numPr>
        <w:numId w:val="20"/>
      </w:numPr>
    </w:pPr>
  </w:style>
  <w:style w:type="character" w:customStyle="1" w:styleId="a6">
    <w:name w:val="Основной текст с отступом Знак"/>
    <w:link w:val="a5"/>
    <w:rsid w:val="006C4E3A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961117"/>
    <w:rPr>
      <w:sz w:val="28"/>
      <w:szCs w:val="28"/>
    </w:rPr>
  </w:style>
  <w:style w:type="character" w:styleId="af8">
    <w:name w:val="footnote reference"/>
    <w:rsid w:val="00711749"/>
    <w:rPr>
      <w:vertAlign w:val="superscript"/>
    </w:rPr>
  </w:style>
  <w:style w:type="character" w:customStyle="1" w:styleId="FontStyle18">
    <w:name w:val="Font Style18"/>
    <w:uiPriority w:val="99"/>
    <w:rsid w:val="00522DE5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522DE5"/>
    <w:rPr>
      <w:rFonts w:ascii="Times New Roman" w:hAnsi="Times New Roman" w:cs="Times New Roman"/>
      <w:sz w:val="26"/>
      <w:szCs w:val="26"/>
    </w:rPr>
  </w:style>
  <w:style w:type="character" w:customStyle="1" w:styleId="aa">
    <w:name w:val="Нижний колонтитул Знак"/>
    <w:link w:val="a9"/>
    <w:uiPriority w:val="99"/>
    <w:rsid w:val="00522DE5"/>
    <w:rPr>
      <w:sz w:val="24"/>
      <w:szCs w:val="24"/>
    </w:rPr>
  </w:style>
  <w:style w:type="character" w:customStyle="1" w:styleId="FontStyle35">
    <w:name w:val="Font Style35"/>
    <w:basedOn w:val="a1"/>
    <w:uiPriority w:val="99"/>
    <w:rsid w:val="00522DE5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0"/>
    <w:uiPriority w:val="99"/>
    <w:rsid w:val="00522DE5"/>
    <w:pPr>
      <w:widowControl w:val="0"/>
      <w:autoSpaceDE w:val="0"/>
      <w:autoSpaceDN w:val="0"/>
      <w:adjustRightInd w:val="0"/>
      <w:spacing w:line="227" w:lineRule="exact"/>
    </w:pPr>
    <w:rPr>
      <w:rFonts w:eastAsiaTheme="minorEastAsia"/>
    </w:rPr>
  </w:style>
  <w:style w:type="paragraph" w:styleId="af9">
    <w:name w:val="List Paragraph"/>
    <w:basedOn w:val="a0"/>
    <w:uiPriority w:val="34"/>
    <w:qFormat/>
    <w:rsid w:val="00560131"/>
    <w:pPr>
      <w:ind w:left="720"/>
      <w:contextualSpacing/>
    </w:pPr>
  </w:style>
  <w:style w:type="character" w:customStyle="1" w:styleId="af3">
    <w:name w:val="Шапка Знак"/>
    <w:basedOn w:val="a1"/>
    <w:link w:val="af2"/>
    <w:rsid w:val="00AE0749"/>
    <w:rPr>
      <w:rFonts w:ascii="Arial" w:hAnsi="Arial" w:cs="Arial"/>
      <w:sz w:val="24"/>
      <w:szCs w:val="24"/>
      <w:shd w:val="pct20" w:color="auto" w:fill="auto"/>
    </w:rPr>
  </w:style>
  <w:style w:type="paragraph" w:styleId="afa">
    <w:name w:val="Normal (Web)"/>
    <w:basedOn w:val="a0"/>
    <w:uiPriority w:val="99"/>
    <w:unhideWhenUsed/>
    <w:rsid w:val="00D079F7"/>
    <w:pPr>
      <w:spacing w:before="100" w:beforeAutospacing="1" w:after="100" w:afterAutospacing="1"/>
    </w:pPr>
  </w:style>
  <w:style w:type="character" w:styleId="afb">
    <w:name w:val="Hyperlink"/>
    <w:basedOn w:val="a1"/>
    <w:uiPriority w:val="99"/>
    <w:unhideWhenUsed/>
    <w:rsid w:val="00D079F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B6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1"/>
    <w:rsid w:val="009B64B7"/>
  </w:style>
  <w:style w:type="character" w:customStyle="1" w:styleId="article-statcount">
    <w:name w:val="article-stat__count"/>
    <w:basedOn w:val="a1"/>
    <w:rsid w:val="009B64B7"/>
  </w:style>
  <w:style w:type="character" w:customStyle="1" w:styleId="article-stat-tipvalue">
    <w:name w:val="article-stat-tip__value"/>
    <w:basedOn w:val="a1"/>
    <w:rsid w:val="009B64B7"/>
  </w:style>
  <w:style w:type="paragraph" w:customStyle="1" w:styleId="article-renderblock">
    <w:name w:val="article-render__block"/>
    <w:basedOn w:val="a0"/>
    <w:rsid w:val="009B64B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rsid w:val="009B64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9B64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c">
    <w:name w:val="Strong"/>
    <w:basedOn w:val="a1"/>
    <w:uiPriority w:val="22"/>
    <w:qFormat/>
    <w:rsid w:val="009B64B7"/>
    <w:rPr>
      <w:b/>
      <w:bCs/>
    </w:rPr>
  </w:style>
  <w:style w:type="paragraph" w:customStyle="1" w:styleId="bigger2">
    <w:name w:val="bigger2"/>
    <w:basedOn w:val="a0"/>
    <w:rsid w:val="00AB2BEF"/>
    <w:pPr>
      <w:spacing w:before="100" w:beforeAutospacing="1" w:after="100" w:afterAutospacing="1"/>
    </w:pPr>
  </w:style>
  <w:style w:type="character" w:customStyle="1" w:styleId="value">
    <w:name w:val="value"/>
    <w:basedOn w:val="a1"/>
    <w:rsid w:val="001E737B"/>
  </w:style>
  <w:style w:type="character" w:customStyle="1" w:styleId="sign1">
    <w:name w:val="sign1"/>
    <w:basedOn w:val="a1"/>
    <w:rsid w:val="001E737B"/>
  </w:style>
  <w:style w:type="paragraph" w:customStyle="1" w:styleId="Default">
    <w:name w:val="Default"/>
    <w:rsid w:val="00DC6C0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201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B6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qFormat/>
    <w:pPr>
      <w:autoSpaceDE w:val="0"/>
      <w:autoSpaceDN w:val="0"/>
      <w:spacing w:after="360" w:line="240" w:lineRule="exact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nhideWhenUsed/>
    <w:qFormat/>
    <w:rsid w:val="009B64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9B64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pacing w:before="120" w:line="340" w:lineRule="exact"/>
      <w:jc w:val="center"/>
    </w:pPr>
    <w:rPr>
      <w:b/>
      <w:bCs/>
      <w:sz w:val="32"/>
      <w:szCs w:val="32"/>
    </w:rPr>
  </w:style>
  <w:style w:type="paragraph" w:styleId="a5">
    <w:name w:val="Body Text Indent"/>
    <w:basedOn w:val="a0"/>
    <w:link w:val="a6"/>
    <w:pPr>
      <w:ind w:firstLine="900"/>
      <w:jc w:val="both"/>
    </w:pPr>
    <w:rPr>
      <w:sz w:val="28"/>
      <w:szCs w:val="28"/>
      <w:lang w:val="x-none" w:eastAsia="x-none"/>
    </w:rPr>
  </w:style>
  <w:style w:type="paragraph" w:styleId="21">
    <w:name w:val="Body Text Indent 2"/>
    <w:basedOn w:val="a0"/>
    <w:link w:val="22"/>
    <w:pPr>
      <w:ind w:firstLine="1080"/>
      <w:jc w:val="both"/>
    </w:pPr>
    <w:rPr>
      <w:sz w:val="28"/>
      <w:szCs w:val="28"/>
    </w:rPr>
  </w:style>
  <w:style w:type="paragraph" w:styleId="a7">
    <w:name w:val="Signature"/>
    <w:basedOn w:val="a0"/>
    <w:next w:val="a8"/>
    <w:pPr>
      <w:tabs>
        <w:tab w:val="left" w:pos="6804"/>
      </w:tabs>
      <w:spacing w:before="400" w:line="240" w:lineRule="exact"/>
    </w:pPr>
    <w:rPr>
      <w:sz w:val="28"/>
      <w:szCs w:val="28"/>
    </w:rPr>
  </w:style>
  <w:style w:type="paragraph" w:styleId="a8">
    <w:name w:val="Subtitle"/>
    <w:basedOn w:val="a0"/>
    <w:qFormat/>
    <w:pPr>
      <w:autoSpaceDE w:val="0"/>
      <w:autoSpaceDN w:val="0"/>
      <w:spacing w:before="360" w:line="240" w:lineRule="exact"/>
      <w:outlineLvl w:val="1"/>
    </w:p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0"/>
    <w:pPr>
      <w:jc w:val="center"/>
    </w:pPr>
    <w:rPr>
      <w:b/>
      <w:bCs/>
      <w:sz w:val="28"/>
      <w:szCs w:val="28"/>
    </w:rPr>
  </w:style>
  <w:style w:type="paragraph" w:styleId="ac">
    <w:name w:val="Block Text"/>
    <w:basedOn w:val="a0"/>
    <w:pPr>
      <w:ind w:left="-480" w:right="99" w:firstLine="1560"/>
      <w:jc w:val="both"/>
    </w:pPr>
    <w:rPr>
      <w:sz w:val="28"/>
    </w:rPr>
  </w:style>
  <w:style w:type="paragraph" w:styleId="31">
    <w:name w:val="Body Text Indent 3"/>
    <w:basedOn w:val="a0"/>
    <w:pPr>
      <w:ind w:left="-480" w:firstLine="1080"/>
      <w:jc w:val="both"/>
    </w:pPr>
    <w:rPr>
      <w:sz w:val="28"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styleId="af">
    <w:name w:val="page number"/>
    <w:basedOn w:val="a1"/>
  </w:style>
  <w:style w:type="character" w:customStyle="1" w:styleId="af0">
    <w:name w:val="Заголовок сообщения (текст)"/>
    <w:rPr>
      <w:rFonts w:ascii="Arial" w:hAnsi="Arial" w:cs="Arial"/>
      <w:b/>
      <w:bCs/>
      <w:spacing w:val="-4"/>
      <w:sz w:val="18"/>
      <w:szCs w:val="18"/>
    </w:rPr>
  </w:style>
  <w:style w:type="paragraph" w:styleId="2">
    <w:name w:val="List Number 2"/>
    <w:basedOn w:val="a0"/>
    <w:pPr>
      <w:numPr>
        <w:numId w:val="7"/>
      </w:numPr>
      <w:tabs>
        <w:tab w:val="clear" w:pos="643"/>
        <w:tab w:val="left" w:pos="709"/>
        <w:tab w:val="num" w:pos="1069"/>
        <w:tab w:val="left" w:pos="1134"/>
      </w:tabs>
      <w:spacing w:before="120" w:line="340" w:lineRule="exact"/>
      <w:ind w:left="0" w:firstLine="709"/>
      <w:jc w:val="both"/>
    </w:pPr>
    <w:rPr>
      <w:sz w:val="28"/>
    </w:rPr>
  </w:style>
  <w:style w:type="paragraph" w:styleId="23">
    <w:name w:val="List 2"/>
    <w:basedOn w:val="a0"/>
    <w:pPr>
      <w:ind w:left="566" w:hanging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1">
    <w:name w:val="Заголовок сообщения (последний)"/>
    <w:basedOn w:val="af2"/>
    <w:next w:val="ab"/>
    <w:autoRedefine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  <w:tab w:val="left" w:pos="1985"/>
        <w:tab w:val="left" w:pos="3572"/>
        <w:tab w:val="left" w:pos="5812"/>
        <w:tab w:val="right" w:pos="9720"/>
      </w:tabs>
      <w:spacing w:after="120" w:line="360" w:lineRule="auto"/>
      <w:ind w:left="0" w:firstLine="720"/>
      <w:jc w:val="both"/>
    </w:pPr>
    <w:rPr>
      <w:rFonts w:ascii="Times New Roman" w:hAnsi="Times New Roman" w:cs="Times New Roman"/>
      <w:spacing w:val="-14"/>
      <w:sz w:val="28"/>
      <w:szCs w:val="30"/>
    </w:rPr>
  </w:style>
  <w:style w:type="paragraph" w:styleId="af2">
    <w:name w:val="Message Header"/>
    <w:basedOn w:val="a0"/>
    <w:link w:val="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af4">
    <w:name w:val="Emphasis"/>
    <w:qFormat/>
    <w:rPr>
      <w:rFonts w:ascii="Arial" w:hAnsi="Arial" w:cs="Arial"/>
      <w:b/>
      <w:bCs/>
      <w:spacing w:val="-10"/>
      <w:sz w:val="16"/>
      <w:szCs w:val="16"/>
    </w:rPr>
  </w:style>
  <w:style w:type="paragraph" w:styleId="af5">
    <w:name w:val="Balloon Text"/>
    <w:basedOn w:val="a0"/>
    <w:semiHidden/>
    <w:rsid w:val="004038A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0"/>
    <w:autoRedefine/>
    <w:rsid w:val="002E2D75"/>
    <w:pPr>
      <w:spacing w:after="160" w:line="240" w:lineRule="exact"/>
    </w:pPr>
    <w:rPr>
      <w:sz w:val="28"/>
      <w:szCs w:val="20"/>
      <w:lang w:val="en-US" w:eastAsia="en-US"/>
    </w:rPr>
  </w:style>
  <w:style w:type="paragraph" w:styleId="24">
    <w:name w:val="Body Text 2"/>
    <w:basedOn w:val="a0"/>
    <w:rsid w:val="00F33891"/>
    <w:pPr>
      <w:spacing w:after="120" w:line="480" w:lineRule="auto"/>
    </w:pPr>
  </w:style>
  <w:style w:type="paragraph" w:customStyle="1" w:styleId="ConsPlusNormal">
    <w:name w:val="ConsPlusNormal"/>
    <w:rsid w:val="00F3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0"/>
    <w:semiHidden/>
    <w:rsid w:val="00EA095E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Стиль1"/>
    <w:basedOn w:val="a0"/>
    <w:rsid w:val="00E55785"/>
    <w:pPr>
      <w:spacing w:before="120" w:line="340" w:lineRule="exact"/>
      <w:ind w:firstLine="709"/>
      <w:jc w:val="both"/>
    </w:pPr>
    <w:rPr>
      <w:bCs/>
      <w:snapToGrid w:val="0"/>
      <w:sz w:val="28"/>
    </w:rPr>
  </w:style>
  <w:style w:type="paragraph" w:customStyle="1" w:styleId="af6">
    <w:name w:val="Знак Знак Знак Знак Знак Знак Знак Знак Знак Знак Знак Знак Знак"/>
    <w:basedOn w:val="a0"/>
    <w:autoRedefine/>
    <w:rsid w:val="00E830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CD16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0">
    <w:name w:val="Font Style60"/>
    <w:rsid w:val="0003027B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Номер"/>
    <w:basedOn w:val="a"/>
    <w:autoRedefine/>
    <w:rsid w:val="00B86FDC"/>
    <w:pPr>
      <w:numPr>
        <w:numId w:val="0"/>
      </w:numPr>
      <w:tabs>
        <w:tab w:val="left" w:pos="754"/>
        <w:tab w:val="left" w:pos="1021"/>
      </w:tabs>
      <w:spacing w:line="360" w:lineRule="exact"/>
      <w:ind w:right="318" w:firstLine="539"/>
      <w:jc w:val="both"/>
    </w:pPr>
    <w:rPr>
      <w:sz w:val="28"/>
    </w:rPr>
  </w:style>
  <w:style w:type="paragraph" w:styleId="a">
    <w:name w:val="List Number"/>
    <w:basedOn w:val="a0"/>
    <w:rsid w:val="00B86FDC"/>
    <w:pPr>
      <w:numPr>
        <w:numId w:val="20"/>
      </w:numPr>
    </w:pPr>
  </w:style>
  <w:style w:type="character" w:customStyle="1" w:styleId="a6">
    <w:name w:val="Основной текст с отступом Знак"/>
    <w:link w:val="a5"/>
    <w:rsid w:val="006C4E3A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961117"/>
    <w:rPr>
      <w:sz w:val="28"/>
      <w:szCs w:val="28"/>
    </w:rPr>
  </w:style>
  <w:style w:type="character" w:styleId="af8">
    <w:name w:val="footnote reference"/>
    <w:rsid w:val="00711749"/>
    <w:rPr>
      <w:vertAlign w:val="superscript"/>
    </w:rPr>
  </w:style>
  <w:style w:type="character" w:customStyle="1" w:styleId="FontStyle18">
    <w:name w:val="Font Style18"/>
    <w:uiPriority w:val="99"/>
    <w:rsid w:val="00522DE5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522DE5"/>
    <w:rPr>
      <w:rFonts w:ascii="Times New Roman" w:hAnsi="Times New Roman" w:cs="Times New Roman"/>
      <w:sz w:val="26"/>
      <w:szCs w:val="26"/>
    </w:rPr>
  </w:style>
  <w:style w:type="character" w:customStyle="1" w:styleId="aa">
    <w:name w:val="Нижний колонтитул Знак"/>
    <w:link w:val="a9"/>
    <w:uiPriority w:val="99"/>
    <w:rsid w:val="00522DE5"/>
    <w:rPr>
      <w:sz w:val="24"/>
      <w:szCs w:val="24"/>
    </w:rPr>
  </w:style>
  <w:style w:type="character" w:customStyle="1" w:styleId="FontStyle35">
    <w:name w:val="Font Style35"/>
    <w:basedOn w:val="a1"/>
    <w:uiPriority w:val="99"/>
    <w:rsid w:val="00522DE5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0"/>
    <w:uiPriority w:val="99"/>
    <w:rsid w:val="00522DE5"/>
    <w:pPr>
      <w:widowControl w:val="0"/>
      <w:autoSpaceDE w:val="0"/>
      <w:autoSpaceDN w:val="0"/>
      <w:adjustRightInd w:val="0"/>
      <w:spacing w:line="227" w:lineRule="exact"/>
    </w:pPr>
    <w:rPr>
      <w:rFonts w:eastAsiaTheme="minorEastAsia"/>
    </w:rPr>
  </w:style>
  <w:style w:type="paragraph" w:styleId="af9">
    <w:name w:val="List Paragraph"/>
    <w:basedOn w:val="a0"/>
    <w:uiPriority w:val="34"/>
    <w:qFormat/>
    <w:rsid w:val="00560131"/>
    <w:pPr>
      <w:ind w:left="720"/>
      <w:contextualSpacing/>
    </w:pPr>
  </w:style>
  <w:style w:type="character" w:customStyle="1" w:styleId="af3">
    <w:name w:val="Шапка Знак"/>
    <w:basedOn w:val="a1"/>
    <w:link w:val="af2"/>
    <w:rsid w:val="00AE0749"/>
    <w:rPr>
      <w:rFonts w:ascii="Arial" w:hAnsi="Arial" w:cs="Arial"/>
      <w:sz w:val="24"/>
      <w:szCs w:val="24"/>
      <w:shd w:val="pct20" w:color="auto" w:fill="auto"/>
    </w:rPr>
  </w:style>
  <w:style w:type="paragraph" w:styleId="afa">
    <w:name w:val="Normal (Web)"/>
    <w:basedOn w:val="a0"/>
    <w:uiPriority w:val="99"/>
    <w:unhideWhenUsed/>
    <w:rsid w:val="00D079F7"/>
    <w:pPr>
      <w:spacing w:before="100" w:beforeAutospacing="1" w:after="100" w:afterAutospacing="1"/>
    </w:pPr>
  </w:style>
  <w:style w:type="character" w:styleId="afb">
    <w:name w:val="Hyperlink"/>
    <w:basedOn w:val="a1"/>
    <w:uiPriority w:val="99"/>
    <w:unhideWhenUsed/>
    <w:rsid w:val="00D079F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B6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1"/>
    <w:rsid w:val="009B64B7"/>
  </w:style>
  <w:style w:type="character" w:customStyle="1" w:styleId="article-statcount">
    <w:name w:val="article-stat__count"/>
    <w:basedOn w:val="a1"/>
    <w:rsid w:val="009B64B7"/>
  </w:style>
  <w:style w:type="character" w:customStyle="1" w:styleId="article-stat-tipvalue">
    <w:name w:val="article-stat-tip__value"/>
    <w:basedOn w:val="a1"/>
    <w:rsid w:val="009B64B7"/>
  </w:style>
  <w:style w:type="paragraph" w:customStyle="1" w:styleId="article-renderblock">
    <w:name w:val="article-render__block"/>
    <w:basedOn w:val="a0"/>
    <w:rsid w:val="009B64B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rsid w:val="009B64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9B64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c">
    <w:name w:val="Strong"/>
    <w:basedOn w:val="a1"/>
    <w:uiPriority w:val="22"/>
    <w:qFormat/>
    <w:rsid w:val="009B64B7"/>
    <w:rPr>
      <w:b/>
      <w:bCs/>
    </w:rPr>
  </w:style>
  <w:style w:type="paragraph" w:customStyle="1" w:styleId="bigger2">
    <w:name w:val="bigger2"/>
    <w:basedOn w:val="a0"/>
    <w:rsid w:val="00AB2BEF"/>
    <w:pPr>
      <w:spacing w:before="100" w:beforeAutospacing="1" w:after="100" w:afterAutospacing="1"/>
    </w:pPr>
  </w:style>
  <w:style w:type="character" w:customStyle="1" w:styleId="value">
    <w:name w:val="value"/>
    <w:basedOn w:val="a1"/>
    <w:rsid w:val="001E737B"/>
  </w:style>
  <w:style w:type="character" w:customStyle="1" w:styleId="sign1">
    <w:name w:val="sign1"/>
    <w:basedOn w:val="a1"/>
    <w:rsid w:val="001E737B"/>
  </w:style>
  <w:style w:type="paragraph" w:customStyle="1" w:styleId="Default">
    <w:name w:val="Default"/>
    <w:rsid w:val="00DC6C0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201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1505">
                          <w:marLeft w:val="0"/>
                          <w:marRight w:val="0"/>
                          <w:marTop w:val="1290"/>
                          <w:marBottom w:val="675"/>
                          <w:divBdr>
                            <w:top w:val="single" w:sz="6" w:space="26" w:color="D2D2D2"/>
                            <w:left w:val="single" w:sz="6" w:space="30" w:color="D2D2D2"/>
                            <w:bottom w:val="single" w:sz="6" w:space="26" w:color="D2D2D2"/>
                            <w:right w:val="single" w:sz="6" w:space="30" w:color="D2D2D2"/>
                          </w:divBdr>
                        </w:div>
                        <w:div w:id="6681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4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626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39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84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07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1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842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consultantplus://offline/ref=E5933B11525E291B494B4963A162F66BCDDB0069F3A274BF3BD9280BD66289314CE956FB6CDE35811B682E11BFD31D698DD71CAC5C23AFs0fE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consultantplus://offline/ref=E5933B11525E291B494B4963A162F66BCDDB0069F3A274BF3BD9280BD66289314CE956FB6CDE34871B682E11BFD31D698DD71CAC5C23AFs0fE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alog.garant.ru/fns/nk/9cd87e493d9fc9c9d85aab7e16da9038/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0C3E-D142-4B3D-A460-612CA5C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ymns</Company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Наталья Анатольевна Суслова</cp:lastModifiedBy>
  <cp:revision>5</cp:revision>
  <cp:lastPrinted>2020-02-28T08:41:00Z</cp:lastPrinted>
  <dcterms:created xsi:type="dcterms:W3CDTF">2020-02-27T10:09:00Z</dcterms:created>
  <dcterms:modified xsi:type="dcterms:W3CDTF">2020-03-03T06:41:00Z</dcterms:modified>
</cp:coreProperties>
</file>