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B01B08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884EA1">
        <w:rPr>
          <w:rFonts w:ascii="Times New Roman" w:hAnsi="Times New Roman"/>
          <w:sz w:val="28"/>
          <w:szCs w:val="28"/>
        </w:rPr>
        <w:t>дека</w:t>
      </w:r>
      <w:r w:rsidR="00EF627F">
        <w:rPr>
          <w:rFonts w:ascii="Times New Roman" w:hAnsi="Times New Roman"/>
          <w:sz w:val="28"/>
          <w:szCs w:val="28"/>
        </w:rPr>
        <w:t>брь</w:t>
      </w:r>
      <w:r w:rsidR="00B01B08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884EA1">
        <w:rPr>
          <w:rFonts w:ascii="Times New Roman" w:hAnsi="Times New Roman"/>
          <w:color w:val="000000"/>
          <w:sz w:val="28"/>
          <w:szCs w:val="28"/>
        </w:rPr>
        <w:t>дека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B01B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5A9">
        <w:rPr>
          <w:rFonts w:ascii="Times New Roman" w:hAnsi="Times New Roman"/>
          <w:sz w:val="28"/>
          <w:szCs w:val="28"/>
        </w:rPr>
        <w:t>1</w:t>
      </w:r>
      <w:r w:rsidR="00884EA1">
        <w:rPr>
          <w:rFonts w:ascii="Times New Roman" w:hAnsi="Times New Roman"/>
          <w:sz w:val="28"/>
          <w:szCs w:val="28"/>
        </w:rPr>
        <w:t>705</w:t>
      </w:r>
      <w:r w:rsidR="00B01B08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2616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B01B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16F">
        <w:rPr>
          <w:rFonts w:ascii="Times New Roman" w:hAnsi="Times New Roman"/>
          <w:sz w:val="28"/>
          <w:szCs w:val="28"/>
        </w:rPr>
        <w:t>13</w:t>
      </w:r>
      <w:r w:rsidR="007662BC" w:rsidRPr="007662BC">
        <w:rPr>
          <w:rFonts w:ascii="Times New Roman" w:hAnsi="Times New Roman"/>
          <w:sz w:val="28"/>
          <w:szCs w:val="28"/>
        </w:rPr>
        <w:t>69</w:t>
      </w:r>
      <w:r w:rsidR="00B01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B01B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B01B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884EA1">
        <w:rPr>
          <w:rFonts w:ascii="Times New Roman" w:hAnsi="Times New Roman"/>
          <w:sz w:val="28"/>
          <w:szCs w:val="28"/>
        </w:rPr>
        <w:t>80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01B08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="00B01B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884EA1">
        <w:rPr>
          <w:rFonts w:ascii="Times New Roman" w:hAnsi="Times New Roman"/>
          <w:color w:val="000000"/>
          <w:sz w:val="28"/>
          <w:szCs w:val="28"/>
        </w:rPr>
        <w:t>5</w:t>
      </w:r>
      <w:r w:rsidR="007662BC">
        <w:rPr>
          <w:rFonts w:ascii="Times New Roman" w:hAnsi="Times New Roman"/>
          <w:color w:val="000000"/>
          <w:sz w:val="28"/>
          <w:szCs w:val="28"/>
        </w:rPr>
        <w:t>7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B01B08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84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9B3885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9B3885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9B3885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401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0A7A33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налогообложением малого бизнеса, специальных налоговых режимов – 9% или 149 обращений.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связано с проведением кампании по уплате имущественных налогов. Заявители уточняли период владения, характеристики и прочую информацию по принадлежащему им имуществу.</w:t>
      </w:r>
    </w:p>
    <w:p w:rsidR="000A7A33" w:rsidRDefault="000A7A33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7% налогоплательщиков обратились по вопросу налога на доходы физических лиц – 117 обращений.</w:t>
      </w:r>
    </w:p>
    <w:p w:rsidR="001F25A9" w:rsidRDefault="000A7A33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обращений (6%) в декабре 2023 года был связан с </w:t>
      </w:r>
      <w:r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земельного налога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100 обращений и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транспортного налога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–98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C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716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31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bookmarkStart w:id="0" w:name="_GoBack"/>
      <w:bookmarkEnd w:id="0"/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01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1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0465E9" w:rsidRDefault="00DA476A">
        <w:pPr>
          <w:pStyle w:val="a6"/>
          <w:jc w:val="center"/>
        </w:pPr>
        <w:r>
          <w:fldChar w:fldCharType="begin"/>
        </w:r>
        <w:r w:rsidR="000465E9">
          <w:instrText>PAGE   \* MERGEFORMAT</w:instrText>
        </w:r>
        <w:r>
          <w:fldChar w:fldCharType="separate"/>
        </w:r>
        <w:r w:rsidR="00046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1B08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A476A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71B3-62B0-4720-94D6-7F236AD8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2023-10-12T07:27:00Z</cp:lastPrinted>
  <dcterms:created xsi:type="dcterms:W3CDTF">2024-01-22T07:42:00Z</dcterms:created>
  <dcterms:modified xsi:type="dcterms:W3CDTF">2024-01-22T07:42:00Z</dcterms:modified>
</cp:coreProperties>
</file>